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1"/>
          <w:color w:val="000080"/>
          <w:sz w:val="24"/>
          <w:szCs w:val="24"/>
        </w:rPr>
      </w:pPr>
      <w:r w:rsidDel="00000000" w:rsidR="00000000" w:rsidRPr="00000000">
        <w:rPr>
          <w:rtl w:val="0"/>
        </w:rPr>
      </w:r>
    </w:p>
    <w:p w:rsidR="00000000" w:rsidDel="00000000" w:rsidP="00000000" w:rsidRDefault="00000000" w:rsidRPr="00000000" w14:paraId="00000002">
      <w:pPr>
        <w:spacing w:after="0" w:line="240" w:lineRule="auto"/>
        <w:ind w:left="567" w:firstLine="565"/>
        <w:jc w:val="center"/>
        <w:rPr>
          <w:sz w:val="24"/>
          <w:szCs w:val="24"/>
        </w:rPr>
      </w:pPr>
      <w:r w:rsidDel="00000000" w:rsidR="00000000" w:rsidRPr="00000000">
        <w:rPr>
          <w:b w:val="1"/>
          <w:color w:val="000080"/>
          <w:sz w:val="24"/>
          <w:szCs w:val="24"/>
          <w:rtl w:val="0"/>
        </w:rPr>
        <w:t xml:space="preserve">P.R.I.M.E. FINANCE LONDON CONFERENCE 2022</w:t>
      </w:r>
      <w:r w:rsidDel="00000000" w:rsidR="00000000" w:rsidRPr="00000000">
        <w:rPr>
          <w:rtl w:val="0"/>
        </w:rPr>
      </w:r>
    </w:p>
    <w:p w:rsidR="00000000" w:rsidDel="00000000" w:rsidP="00000000" w:rsidRDefault="00000000" w:rsidRPr="00000000" w14:paraId="00000003">
      <w:pPr>
        <w:spacing w:after="0" w:line="240" w:lineRule="auto"/>
        <w:ind w:left="567" w:firstLine="423"/>
        <w:jc w:val="center"/>
        <w:rPr>
          <w:sz w:val="24"/>
          <w:szCs w:val="24"/>
        </w:rPr>
      </w:pPr>
      <w:r w:rsidDel="00000000" w:rsidR="00000000" w:rsidRPr="00000000">
        <w:rPr>
          <w:b w:val="1"/>
          <w:color w:val="000080"/>
          <w:sz w:val="24"/>
          <w:szCs w:val="24"/>
          <w:rtl w:val="0"/>
        </w:rPr>
        <w:t xml:space="preserve">28 March 2022</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tbl>
      <w:tblPr>
        <w:tblStyle w:val="Table1"/>
        <w:tblW w:w="10800.0" w:type="dxa"/>
        <w:jc w:val="center"/>
        <w:tblLayout w:type="fixed"/>
        <w:tblLook w:val="0000"/>
      </w:tblPr>
      <w:tblGrid>
        <w:gridCol w:w="1500"/>
        <w:gridCol w:w="9300"/>
        <w:tblGridChange w:id="0">
          <w:tblGrid>
            <w:gridCol w:w="1500"/>
            <w:gridCol w:w="930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05">
            <w:pPr>
              <w:spacing w:after="0" w:line="240" w:lineRule="auto"/>
              <w:ind w:right="-20"/>
              <w:jc w:val="both"/>
              <w:rPr>
                <w:sz w:val="24"/>
                <w:szCs w:val="24"/>
              </w:rPr>
            </w:pPr>
            <w:r w:rsidDel="00000000" w:rsidR="00000000" w:rsidRPr="00000000">
              <w:rPr>
                <w:sz w:val="24"/>
                <w:szCs w:val="24"/>
                <w:rtl w:val="0"/>
              </w:rPr>
              <w:t xml:space="preserve">8:00 – 9:00</w:t>
            </w:r>
          </w:p>
        </w:tc>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06">
            <w:pPr>
              <w:spacing w:after="0" w:line="240" w:lineRule="auto"/>
              <w:ind w:right="-20"/>
              <w:jc w:val="both"/>
              <w:rPr>
                <w:sz w:val="24"/>
                <w:szCs w:val="24"/>
              </w:rPr>
            </w:pPr>
            <w:r w:rsidDel="00000000" w:rsidR="00000000" w:rsidRPr="00000000">
              <w:rPr>
                <w:b w:val="1"/>
                <w:sz w:val="24"/>
                <w:szCs w:val="24"/>
                <w:rtl w:val="0"/>
              </w:rPr>
              <w:t xml:space="preserve">Registration and Breakfast sponsored by 3 Verulam Buildings</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07">
            <w:pPr>
              <w:spacing w:after="0" w:line="240" w:lineRule="auto"/>
              <w:ind w:right="-20"/>
              <w:jc w:val="both"/>
              <w:rPr>
                <w:sz w:val="24"/>
                <w:szCs w:val="24"/>
              </w:rPr>
            </w:pPr>
            <w:r w:rsidDel="00000000" w:rsidR="00000000" w:rsidRPr="00000000">
              <w:rPr>
                <w:sz w:val="24"/>
                <w:szCs w:val="24"/>
                <w:rtl w:val="0"/>
              </w:rPr>
              <w:t xml:space="preserve">9:00 – 9:45</w:t>
            </w:r>
          </w:p>
        </w:tc>
        <w:tc>
          <w:tcPr>
            <w:tcBorders>
              <w:top w:color="000000" w:space="0" w:sz="4" w:val="single"/>
              <w:left w:color="000000" w:space="0" w:sz="4" w:val="single"/>
              <w:bottom w:color="000000" w:space="0" w:sz="4" w:val="single"/>
              <w:right w:color="000000" w:space="0" w:sz="4" w:val="single"/>
            </w:tcBorders>
            <w:shd w:fill="1f497d" w:val="clear"/>
            <w:tcMar>
              <w:top w:w="57.0" w:type="dxa"/>
              <w:left w:w="57.0" w:type="dxa"/>
              <w:bottom w:w="57.0" w:type="dxa"/>
              <w:right w:w="57.0" w:type="dxa"/>
            </w:tcMar>
            <w:vAlign w:val="center"/>
          </w:tcPr>
          <w:p w:rsidR="00000000" w:rsidDel="00000000" w:rsidP="00000000" w:rsidRDefault="00000000" w:rsidRPr="00000000" w14:paraId="00000008">
            <w:pPr>
              <w:spacing w:after="0" w:line="240" w:lineRule="auto"/>
              <w:ind w:right="-23"/>
              <w:jc w:val="both"/>
              <w:rPr>
                <w:b w:val="1"/>
                <w:sz w:val="24"/>
                <w:szCs w:val="24"/>
              </w:rPr>
            </w:pPr>
            <w:r w:rsidDel="00000000" w:rsidR="00000000" w:rsidRPr="00000000">
              <w:rPr>
                <w:b w:val="1"/>
                <w:color w:val="ffffff"/>
                <w:sz w:val="24"/>
                <w:szCs w:val="24"/>
                <w:rtl w:val="0"/>
              </w:rPr>
              <w:t xml:space="preserve">Opening proceedings</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09">
            <w:pPr>
              <w:spacing w:after="0" w:line="240" w:lineRule="auto"/>
              <w:ind w:left="3363" w:right="3344" w:firstLine="0"/>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tcPr>
          <w:p w:rsidR="00000000" w:rsidDel="00000000" w:rsidP="00000000" w:rsidRDefault="00000000" w:rsidRPr="00000000" w14:paraId="0000000A">
            <w:pPr>
              <w:spacing w:after="0" w:line="240" w:lineRule="auto"/>
              <w:ind w:right="-23"/>
              <w:jc w:val="both"/>
              <w:rPr>
                <w:sz w:val="24"/>
                <w:szCs w:val="24"/>
              </w:rPr>
            </w:pPr>
            <w:r w:rsidDel="00000000" w:rsidR="00000000" w:rsidRPr="00000000">
              <w:rPr>
                <w:b w:val="1"/>
                <w:color w:val="000000"/>
                <w:sz w:val="24"/>
                <w:szCs w:val="24"/>
                <w:rtl w:val="0"/>
              </w:rPr>
              <w:t xml:space="preserve">Opening remarks from Robert G. Pickel</w:t>
            </w:r>
            <w:r w:rsidDel="00000000" w:rsidR="00000000" w:rsidRPr="00000000">
              <w:rPr>
                <w:color w:val="000000"/>
                <w:sz w:val="24"/>
                <w:szCs w:val="24"/>
                <w:rtl w:val="0"/>
              </w:rPr>
              <w:t xml:space="preserve"> Chair, P.R.I.M.E. Finance Management Board; Affiliate, Rutter Associates LLC (New York); former Chief Executive Officer, Executive Vice Chairman and General Counsel, International Swaps and Derivatives Association (ISDA); P.R.I.M.E. Finance Expert. </w:t>
            </w:r>
            <w:r w:rsidDel="00000000" w:rsidR="00000000" w:rsidRPr="00000000">
              <w:rPr>
                <w:rtl w:val="0"/>
              </w:rPr>
            </w:r>
          </w:p>
          <w:p w:rsidR="00000000" w:rsidDel="00000000" w:rsidP="00000000" w:rsidRDefault="00000000" w:rsidRPr="00000000" w14:paraId="0000000B">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0C">
            <w:pPr>
              <w:spacing w:after="0" w:line="240" w:lineRule="auto"/>
              <w:ind w:right="-23"/>
              <w:jc w:val="both"/>
              <w:rPr>
                <w:sz w:val="24"/>
                <w:szCs w:val="24"/>
              </w:rPr>
            </w:pPr>
            <w:r w:rsidDel="00000000" w:rsidR="00000000" w:rsidRPr="00000000">
              <w:rPr>
                <w:b w:val="1"/>
                <w:sz w:val="24"/>
                <w:szCs w:val="24"/>
                <w:rtl w:val="0"/>
              </w:rPr>
              <w:t xml:space="preserve">Welcome from Emma Dwyer</w:t>
            </w:r>
            <w:r w:rsidDel="00000000" w:rsidR="00000000" w:rsidRPr="00000000">
              <w:rPr>
                <w:sz w:val="24"/>
                <w:szCs w:val="24"/>
                <w:rtl w:val="0"/>
              </w:rPr>
              <w:t xml:space="preserve"> Partner in Allen &amp; Overy’s derivatives and structured finance team in London and member of The Markets Innovation Group, advising on a broad range of issues relating to derivatives and structured finance transactions. Emma has worked closely with industry bodies including ISDA, FIA Europe and SiFMA AMG on numerous OTC derivatives regulatory initiatives. </w:t>
            </w:r>
          </w:p>
          <w:p w:rsidR="00000000" w:rsidDel="00000000" w:rsidP="00000000" w:rsidRDefault="00000000" w:rsidRPr="00000000" w14:paraId="0000000D">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ind w:right="-23"/>
              <w:jc w:val="both"/>
              <w:rPr>
                <w:color w:val="222222"/>
                <w:sz w:val="24"/>
                <w:szCs w:val="24"/>
              </w:rPr>
            </w:pPr>
            <w:r w:rsidDel="00000000" w:rsidR="00000000" w:rsidRPr="00000000">
              <w:rPr>
                <w:b w:val="1"/>
                <w:sz w:val="24"/>
                <w:szCs w:val="24"/>
                <w:rtl w:val="0"/>
              </w:rPr>
              <w:t xml:space="preserve">Introduction of Keynote Speaker by Jeffrey Golden QC Hon </w:t>
            </w:r>
            <w:r w:rsidDel="00000000" w:rsidR="00000000" w:rsidRPr="00000000">
              <w:rPr>
                <w:color w:val="222222"/>
                <w:sz w:val="24"/>
                <w:szCs w:val="24"/>
                <w:rtl w:val="0"/>
              </w:rPr>
              <w:t xml:space="preserve">Founder and Chair Emeritus of the P.R.I.M.E. Finance Foundation; Honorary Fellow and Member of Court, London School of Economics; Joint Head of Chambers, 3 Hare Court; P.R.I.M.E Finance Expert</w:t>
            </w:r>
          </w:p>
          <w:p w:rsidR="00000000" w:rsidDel="00000000" w:rsidP="00000000" w:rsidRDefault="00000000" w:rsidRPr="00000000" w14:paraId="0000000F">
            <w:pPr>
              <w:spacing w:after="0" w:line="240" w:lineRule="auto"/>
              <w:ind w:right="-23"/>
              <w:jc w:val="both"/>
              <w:rPr>
                <w:b w:val="1"/>
                <w:sz w:val="24"/>
                <w:szCs w:val="24"/>
              </w:rPr>
            </w:pPr>
            <w:r w:rsidDel="00000000" w:rsidR="00000000" w:rsidRPr="00000000">
              <w:rPr>
                <w:rtl w:val="0"/>
              </w:rPr>
            </w:r>
          </w:p>
          <w:p w:rsidR="00000000" w:rsidDel="00000000" w:rsidP="00000000" w:rsidRDefault="00000000" w:rsidRPr="00000000" w14:paraId="00000010">
            <w:pPr>
              <w:spacing w:after="0" w:line="240" w:lineRule="auto"/>
              <w:ind w:right="-23"/>
              <w:jc w:val="both"/>
              <w:rPr>
                <w:sz w:val="24"/>
                <w:szCs w:val="24"/>
              </w:rPr>
            </w:pPr>
            <w:r w:rsidDel="00000000" w:rsidR="00000000" w:rsidRPr="00000000">
              <w:rPr>
                <w:b w:val="1"/>
                <w:color w:val="000000"/>
                <w:sz w:val="24"/>
                <w:szCs w:val="24"/>
                <w:rtl w:val="0"/>
              </w:rPr>
              <w:t xml:space="preserve">Keynote </w:t>
            </w:r>
            <w:r w:rsidDel="00000000" w:rsidR="00000000" w:rsidRPr="00000000">
              <w:rPr>
                <w:b w:val="1"/>
                <w:sz w:val="24"/>
                <w:szCs w:val="24"/>
                <w:rtl w:val="0"/>
              </w:rPr>
              <w:t xml:space="preserve">Speaker </w:t>
            </w:r>
            <w:r w:rsidDel="00000000" w:rsidR="00000000" w:rsidRPr="00000000">
              <w:rPr>
                <w:b w:val="1"/>
                <w:color w:val="000000"/>
                <w:sz w:val="24"/>
                <w:szCs w:val="24"/>
                <w:rtl w:val="0"/>
              </w:rPr>
              <w:t xml:space="preserve">Sir Edward Murray </w:t>
            </w:r>
            <w:r w:rsidDel="00000000" w:rsidR="00000000" w:rsidRPr="00000000">
              <w:rPr>
                <w:color w:val="000000"/>
                <w:sz w:val="24"/>
                <w:szCs w:val="24"/>
                <w:rtl w:val="0"/>
              </w:rPr>
              <w:t xml:space="preserve">The Honourable Mr Justice Murray was formerly a partner at Allen </w:t>
            </w:r>
            <w:r w:rsidDel="00000000" w:rsidR="00000000" w:rsidRPr="00000000">
              <w:rPr>
                <w:sz w:val="24"/>
                <w:szCs w:val="24"/>
                <w:rtl w:val="0"/>
              </w:rPr>
              <w:t xml:space="preserve">&amp; Overy LLP</w:t>
            </w:r>
            <w:r w:rsidDel="00000000" w:rsidR="00000000" w:rsidRPr="00000000">
              <w:rPr>
                <w:color w:val="000000"/>
                <w:sz w:val="24"/>
                <w:szCs w:val="24"/>
                <w:rtl w:val="0"/>
              </w:rPr>
              <w:t xml:space="preserve">, where he co-founded the firm’s global derivatives practice in 1991.</w:t>
            </w:r>
            <w:r w:rsidDel="00000000" w:rsidR="00000000" w:rsidRPr="00000000">
              <w:rPr>
                <w:sz w:val="24"/>
                <w:szCs w:val="24"/>
                <w:rtl w:val="0"/>
              </w:rPr>
              <w:t xml:space="preserve"> In 2009 he was appointed a Recorder of the Crown Court, and in 2013 he was authorised to sit part-time in the Chancery Division of the High Court of England and Wales as a Deputy High Court Judge. In October 2018 he was appointed a full-time High Court Judge and assigned to the Queen’s Bench Division. In November 2021 he was appointed a Presiding Judge of the South Eastern Circuit of England and Wales. </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240" w:lineRule="auto"/>
              <w:ind w:right="-23"/>
              <w:jc w:val="both"/>
              <w:rPr>
                <w:sz w:val="24"/>
                <w:szCs w:val="24"/>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12">
            <w:pPr>
              <w:spacing w:after="0" w:line="240" w:lineRule="auto"/>
              <w:ind w:right="-20"/>
              <w:jc w:val="both"/>
              <w:rPr>
                <w:sz w:val="24"/>
                <w:szCs w:val="24"/>
              </w:rPr>
            </w:pPr>
            <w:r w:rsidDel="00000000" w:rsidR="00000000" w:rsidRPr="00000000">
              <w:rPr>
                <w:sz w:val="24"/>
                <w:szCs w:val="24"/>
                <w:rtl w:val="0"/>
              </w:rPr>
              <w:t xml:space="preserve">9:45 – 10:45</w:t>
            </w:r>
          </w:p>
        </w:tc>
        <w:tc>
          <w:tcPr>
            <w:tcBorders>
              <w:top w:color="000000" w:space="0" w:sz="4" w:val="single"/>
              <w:left w:color="000000" w:space="0" w:sz="4" w:val="single"/>
              <w:bottom w:color="000000" w:space="0" w:sz="4" w:val="single"/>
              <w:right w:color="000000" w:space="0" w:sz="4" w:val="single"/>
            </w:tcBorders>
            <w:shd w:fill="1f497d" w:val="clear"/>
            <w:tcMar>
              <w:top w:w="57.0" w:type="dxa"/>
              <w:left w:w="57.0" w:type="dxa"/>
              <w:bottom w:w="57.0" w:type="dxa"/>
              <w:right w:w="57.0" w:type="dxa"/>
            </w:tcMar>
            <w:vAlign w:val="center"/>
          </w:tcPr>
          <w:p w:rsidR="00000000" w:rsidDel="00000000" w:rsidP="00000000" w:rsidRDefault="00000000" w:rsidRPr="00000000" w14:paraId="00000013">
            <w:pPr>
              <w:spacing w:after="0" w:line="240" w:lineRule="auto"/>
              <w:ind w:right="-23"/>
              <w:jc w:val="both"/>
              <w:rPr>
                <w:b w:val="1"/>
                <w:color w:val="fefefe"/>
                <w:sz w:val="24"/>
                <w:szCs w:val="24"/>
                <w:shd w:fill="1f497d" w:val="clear"/>
              </w:rPr>
            </w:pPr>
            <w:r w:rsidDel="00000000" w:rsidR="00000000" w:rsidRPr="00000000">
              <w:rPr>
                <w:b w:val="1"/>
                <w:color w:val="fefefe"/>
                <w:sz w:val="24"/>
                <w:szCs w:val="24"/>
                <w:shd w:fill="1f497d" w:val="clear"/>
                <w:rtl w:val="0"/>
              </w:rPr>
              <w:t xml:space="preserve">Building a Better Mousetrap - or Financial Court:  Lessons from the Past, Present, and Future of the Financial List</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14">
            <w:pPr>
              <w:spacing w:after="0" w:line="240" w:lineRule="auto"/>
              <w:ind w:right="-20"/>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tcPr>
          <w:p w:rsidR="00000000" w:rsidDel="00000000" w:rsidP="00000000" w:rsidRDefault="00000000" w:rsidRPr="00000000" w14:paraId="00000015">
            <w:pPr>
              <w:spacing w:after="0" w:line="240" w:lineRule="auto"/>
              <w:ind w:right="-23"/>
              <w:jc w:val="both"/>
              <w:rPr>
                <w:sz w:val="24"/>
                <w:szCs w:val="24"/>
              </w:rPr>
            </w:pPr>
            <w:r w:rsidDel="00000000" w:rsidR="00000000" w:rsidRPr="00000000">
              <w:rPr>
                <w:color w:val="222222"/>
                <w:sz w:val="24"/>
                <w:szCs w:val="24"/>
                <w:highlight w:val="white"/>
                <w:rtl w:val="0"/>
              </w:rPr>
              <w:t xml:space="preserve">In this moderated conversation among esteemed members of the judiciary, we will address the goals, progress, and experience of financial courts in dispute resolution, and in particular, the Financial List.  The panel will also address current topics including pandemic measures and reflections, and current procedural and substantive topics of note.</w:t>
            </w:r>
            <w:r w:rsidDel="00000000" w:rsidR="00000000" w:rsidRPr="00000000">
              <w:rPr>
                <w:rtl w:val="0"/>
              </w:rPr>
            </w:r>
          </w:p>
          <w:p w:rsidR="00000000" w:rsidDel="00000000" w:rsidP="00000000" w:rsidRDefault="00000000" w:rsidRPr="00000000" w14:paraId="00000016">
            <w:pPr>
              <w:spacing w:after="0" w:line="240" w:lineRule="auto"/>
              <w:ind w:right="-23"/>
              <w:jc w:val="both"/>
              <w:rPr>
                <w:b w:val="1"/>
                <w:sz w:val="24"/>
                <w:szCs w:val="24"/>
              </w:rPr>
            </w:pPr>
            <w:r w:rsidDel="00000000" w:rsidR="00000000" w:rsidRPr="00000000">
              <w:rPr>
                <w:rtl w:val="0"/>
              </w:rPr>
            </w:r>
          </w:p>
          <w:p w:rsidR="00000000" w:rsidDel="00000000" w:rsidP="00000000" w:rsidRDefault="00000000" w:rsidRPr="00000000" w14:paraId="00000017">
            <w:pPr>
              <w:spacing w:after="0" w:line="240" w:lineRule="auto"/>
              <w:ind w:right="-23"/>
              <w:jc w:val="both"/>
              <w:rPr>
                <w:sz w:val="24"/>
                <w:szCs w:val="24"/>
              </w:rPr>
            </w:pPr>
            <w:r w:rsidDel="00000000" w:rsidR="00000000" w:rsidRPr="00000000">
              <w:rPr>
                <w:b w:val="1"/>
                <w:color w:val="000000"/>
                <w:sz w:val="24"/>
                <w:szCs w:val="24"/>
                <w:rtl w:val="0"/>
              </w:rPr>
              <w:t xml:space="preserve">Moderator:</w:t>
            </w:r>
            <w:r w:rsidDel="00000000" w:rsidR="00000000" w:rsidRPr="00000000">
              <w:rPr>
                <w:sz w:val="24"/>
                <w:szCs w:val="24"/>
                <w:rtl w:val="0"/>
              </w:rPr>
              <w:t xml:space="preserve"> </w:t>
            </w:r>
          </w:p>
          <w:p w:rsidR="00000000" w:rsidDel="00000000" w:rsidP="00000000" w:rsidRDefault="00000000" w:rsidRPr="00000000" w14:paraId="00000018">
            <w:pPr>
              <w:spacing w:after="0" w:line="240" w:lineRule="auto"/>
              <w:ind w:right="-23"/>
              <w:jc w:val="both"/>
              <w:rPr>
                <w:sz w:val="24"/>
                <w:szCs w:val="24"/>
              </w:rPr>
            </w:pPr>
            <w:r w:rsidDel="00000000" w:rsidR="00000000" w:rsidRPr="00000000">
              <w:rPr>
                <w:b w:val="1"/>
                <w:sz w:val="24"/>
                <w:szCs w:val="24"/>
                <w:rtl w:val="0"/>
              </w:rPr>
              <w:t xml:space="preserve">Hon. Elizabeth S. Stong</w:t>
            </w:r>
            <w:r w:rsidDel="00000000" w:rsidR="00000000" w:rsidRPr="00000000">
              <w:rPr>
                <w:sz w:val="24"/>
                <w:szCs w:val="24"/>
                <w:rtl w:val="0"/>
              </w:rPr>
              <w:t xml:space="preserve"> </w:t>
            </w:r>
            <w:r w:rsidDel="00000000" w:rsidR="00000000" w:rsidRPr="00000000">
              <w:rPr>
                <w:sz w:val="24"/>
                <w:szCs w:val="24"/>
                <w:highlight w:val="white"/>
                <w:rtl w:val="0"/>
              </w:rPr>
              <w:t xml:space="preserve">Judge, United States Bankruptcy Court, Eastern District of New York; P.R.I.M.E. Finance Advisory Board member and Expert; member, Council on Foreign Relations; Council member, American Law Institute; Trustee, Practising Law Institute; Advisory Board member, American Bar Association (ABA) Center for Human Rights; Co-chair, ABA Business Law Section Leadership Development Committee; Council member, ABA International Law Section Council; Advisory Council member, Columbia University Committee on Global Thought. </w:t>
            </w:r>
            <w:r w:rsidDel="00000000" w:rsidR="00000000" w:rsidRPr="00000000">
              <w:rPr>
                <w:rtl w:val="0"/>
              </w:rPr>
            </w:r>
          </w:p>
          <w:p w:rsidR="00000000" w:rsidDel="00000000" w:rsidP="00000000" w:rsidRDefault="00000000" w:rsidRPr="00000000" w14:paraId="00000019">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ind w:right="-23"/>
              <w:jc w:val="both"/>
              <w:rPr>
                <w:sz w:val="24"/>
                <w:szCs w:val="24"/>
              </w:rPr>
            </w:pPr>
            <w:r w:rsidDel="00000000" w:rsidR="00000000" w:rsidRPr="00000000">
              <w:rPr>
                <w:b w:val="1"/>
                <w:sz w:val="24"/>
                <w:szCs w:val="24"/>
                <w:highlight w:val="white"/>
                <w:rtl w:val="0"/>
              </w:rPr>
              <w:t xml:space="preserve">Simon Gleeson </w:t>
            </w:r>
            <w:r w:rsidDel="00000000" w:rsidR="00000000" w:rsidRPr="00000000">
              <w:rPr>
                <w:sz w:val="24"/>
                <w:szCs w:val="24"/>
                <w:rtl w:val="0"/>
              </w:rPr>
              <w:t xml:space="preserve">Partner, Clifford Chance, specialising in banking and financial markets law and regulation, clearing, settlement and derivatives. He chairs the Institute for International Finance's cross-border resolution committee and advised the World Economic Forum on its 2009 Report on The New Global Financial Architecture. He was also involved in the establishment of the UK's Banking Standards Board. Visiting Professor at Queen Mary University and a member of the bank resolution project of the Hoover Institution at Stanford University. He has been appointed as a Deputy High Court Judge. He is also a P.R.I.M.E. Finance Expert.</w:t>
            </w:r>
          </w:p>
          <w:p w:rsidR="00000000" w:rsidDel="00000000" w:rsidP="00000000" w:rsidRDefault="00000000" w:rsidRPr="00000000" w14:paraId="0000001B">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ind w:right="-23"/>
              <w:jc w:val="both"/>
              <w:rPr>
                <w:sz w:val="24"/>
                <w:szCs w:val="24"/>
                <w:highlight w:val="white"/>
              </w:rPr>
            </w:pPr>
            <w:r w:rsidDel="00000000" w:rsidR="00000000" w:rsidRPr="00000000">
              <w:rPr>
                <w:b w:val="1"/>
                <w:sz w:val="24"/>
                <w:szCs w:val="24"/>
                <w:highlight w:val="white"/>
                <w:rtl w:val="0"/>
              </w:rPr>
              <w:t xml:space="preserve">The Rt Hon Sir David Richards </w:t>
            </w:r>
            <w:r w:rsidDel="00000000" w:rsidR="00000000" w:rsidRPr="00000000">
              <w:rPr>
                <w:sz w:val="24"/>
                <w:szCs w:val="24"/>
                <w:highlight w:val="white"/>
                <w:rtl w:val="0"/>
              </w:rPr>
              <w:t xml:space="preserve">Arbitrator (One Essex Court) since 2021, Lord Justice of Appeal (Judge of the Court of Appeal of England and Wales) 2015-21, High Court Judge (Chancery Division) (and judge of the Financial List) 2003-15, barrister in private practice (QC 1992-2003) specialising in company law, corporate insolvency and financial law 1976-2003. Co-chair of the judicial committee (2012-19) and a director (2015-19) of the International Insolvency Institute.</w:t>
            </w:r>
          </w:p>
          <w:p w:rsidR="00000000" w:rsidDel="00000000" w:rsidP="00000000" w:rsidRDefault="00000000" w:rsidRPr="00000000" w14:paraId="0000001D">
            <w:pPr>
              <w:spacing w:after="0" w:line="240" w:lineRule="auto"/>
              <w:ind w:right="-23"/>
              <w:jc w:val="both"/>
              <w:rPr>
                <w:b w:val="1"/>
                <w:sz w:val="24"/>
                <w:szCs w:val="24"/>
                <w:highlight w:val="white"/>
              </w:rPr>
            </w:pPr>
            <w:r w:rsidDel="00000000" w:rsidR="00000000" w:rsidRPr="00000000">
              <w:rPr>
                <w:rtl w:val="0"/>
              </w:rPr>
            </w:r>
          </w:p>
          <w:p w:rsidR="00000000" w:rsidDel="00000000" w:rsidP="00000000" w:rsidRDefault="00000000" w:rsidRPr="00000000" w14:paraId="0000001E">
            <w:pPr>
              <w:spacing w:after="0" w:line="240" w:lineRule="auto"/>
              <w:ind w:right="-23"/>
              <w:jc w:val="both"/>
              <w:rPr>
                <w:sz w:val="24"/>
                <w:szCs w:val="24"/>
                <w:highlight w:val="white"/>
              </w:rPr>
            </w:pPr>
            <w:r w:rsidDel="00000000" w:rsidR="00000000" w:rsidRPr="00000000">
              <w:rPr>
                <w:b w:val="1"/>
                <w:sz w:val="24"/>
                <w:szCs w:val="24"/>
                <w:highlight w:val="white"/>
                <w:rtl w:val="0"/>
              </w:rPr>
              <w:t xml:space="preserve">Sir Bernard Rix </w:t>
            </w:r>
            <w:r w:rsidDel="00000000" w:rsidR="00000000" w:rsidRPr="00000000">
              <w:rPr>
                <w:sz w:val="24"/>
                <w:szCs w:val="24"/>
                <w:highlight w:val="white"/>
                <w:rtl w:val="0"/>
              </w:rPr>
              <w:t xml:space="preserve">retired in 2013 as a Lord Justice of Appeal with 20 years’ experience in the Commercial Court and the Court of Appeal. Since 2013 he has accepted appointments as an arbitrator and mediator in a wide variety of settings. He is an International Judge of the Singapore International Commercial Court and a member of the Cayman Islands Court of Appeal. He is Professor of International Commercial Law at The Centre of Commercial Law Studies at Queen Mary, University of London. He is also a P.R.I.M.E. Finance Expert. </w:t>
            </w:r>
          </w:p>
          <w:p w:rsidR="00000000" w:rsidDel="00000000" w:rsidP="00000000" w:rsidRDefault="00000000" w:rsidRPr="00000000" w14:paraId="0000001F">
            <w:pPr>
              <w:spacing w:after="0" w:line="240" w:lineRule="auto"/>
              <w:ind w:right="-23"/>
              <w:jc w:val="both"/>
              <w:rPr>
                <w:b w:val="1"/>
                <w:sz w:val="24"/>
                <w:szCs w:val="24"/>
                <w:highlight w:val="white"/>
              </w:rPr>
            </w:pPr>
            <w:r w:rsidDel="00000000" w:rsidR="00000000" w:rsidRPr="00000000">
              <w:rPr>
                <w:rtl w:val="0"/>
              </w:rPr>
            </w:r>
          </w:p>
          <w:p w:rsidR="00000000" w:rsidDel="00000000" w:rsidP="00000000" w:rsidRDefault="00000000" w:rsidRPr="00000000" w14:paraId="00000020">
            <w:pPr>
              <w:spacing w:after="0" w:line="240" w:lineRule="auto"/>
              <w:ind w:right="-23"/>
              <w:jc w:val="both"/>
              <w:rPr>
                <w:sz w:val="24"/>
                <w:szCs w:val="24"/>
              </w:rPr>
            </w:pPr>
            <w:r w:rsidDel="00000000" w:rsidR="00000000" w:rsidRPr="00000000">
              <w:rPr>
                <w:b w:val="1"/>
                <w:sz w:val="24"/>
                <w:szCs w:val="24"/>
                <w:highlight w:val="white"/>
                <w:rtl w:val="0"/>
              </w:rPr>
              <w:t xml:space="preserve">Lord Justice Snowden</w:t>
            </w:r>
            <w:r w:rsidDel="00000000" w:rsidR="00000000" w:rsidRPr="00000000">
              <w:rPr>
                <w:b w:val="1"/>
                <w:sz w:val="24"/>
                <w:szCs w:val="24"/>
                <w:rtl w:val="0"/>
              </w:rPr>
              <w:t xml:space="preserve"> </w:t>
            </w:r>
            <w:r w:rsidDel="00000000" w:rsidR="00000000" w:rsidRPr="00000000">
              <w:rPr>
                <w:sz w:val="24"/>
                <w:szCs w:val="24"/>
                <w:highlight w:val="white"/>
                <w:rtl w:val="0"/>
              </w:rPr>
              <w:t xml:space="preserve">At the Chancery and Commercial Bar, Lord Justice Snowden specialised in corporate, corporate insolvency and financial services litigation, including, among others acting for HSBC in the bank charges litigation and representing the US arm of Lehman Brothers in many of the cases brought in this country after its collapse in 2008.  After appointment to the High Court Bench in 2015 he was appointed to the Financial List.  He decided a large number of the leading international insolvency and restructuring cases, together with cases involving financial markets and derivative instruments such as LBF v Tschira on the ISDA Master Agreement. He was appointed to the Court of Appeal in October 2021.</w:t>
            </w:r>
            <w:r w:rsidDel="00000000" w:rsidR="00000000" w:rsidRPr="00000000">
              <w:rPr>
                <w:sz w:val="24"/>
                <w:szCs w:val="24"/>
                <w:highlight w:val="white"/>
                <w:rtl w:val="0"/>
              </w:rPr>
              <w:t xml:space="preserve">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21">
            <w:pPr>
              <w:spacing w:after="0" w:line="240" w:lineRule="auto"/>
              <w:ind w:right="-20"/>
              <w:jc w:val="both"/>
              <w:rPr>
                <w:sz w:val="24"/>
                <w:szCs w:val="24"/>
              </w:rPr>
            </w:pPr>
            <w:r w:rsidDel="00000000" w:rsidR="00000000" w:rsidRPr="00000000">
              <w:rPr>
                <w:sz w:val="24"/>
                <w:szCs w:val="24"/>
                <w:rtl w:val="0"/>
              </w:rPr>
              <w:t xml:space="preserve">10:45 – 11:15</w:t>
            </w:r>
          </w:p>
        </w:tc>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22">
            <w:pPr>
              <w:spacing w:after="0" w:line="240" w:lineRule="auto"/>
              <w:ind w:left="11" w:right="-20" w:firstLine="0"/>
              <w:jc w:val="both"/>
              <w:rPr>
                <w:b w:val="1"/>
                <w:sz w:val="24"/>
                <w:szCs w:val="24"/>
              </w:rPr>
            </w:pPr>
            <w:r w:rsidDel="00000000" w:rsidR="00000000" w:rsidRPr="00000000">
              <w:rPr>
                <w:b w:val="1"/>
                <w:sz w:val="24"/>
                <w:szCs w:val="24"/>
                <w:rtl w:val="0"/>
              </w:rPr>
              <w:t xml:space="preserve">Coffee break sponsored by 3 Verulam Buildings</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23">
            <w:pPr>
              <w:spacing w:after="0" w:line="240" w:lineRule="auto"/>
              <w:ind w:right="-20"/>
              <w:jc w:val="both"/>
              <w:rPr>
                <w:sz w:val="24"/>
                <w:szCs w:val="24"/>
              </w:rPr>
            </w:pPr>
            <w:r w:rsidDel="00000000" w:rsidR="00000000" w:rsidRPr="00000000">
              <w:rPr>
                <w:sz w:val="24"/>
                <w:szCs w:val="24"/>
                <w:rtl w:val="0"/>
              </w:rPr>
              <w:t xml:space="preserve">11:15 – 12:15</w:t>
            </w:r>
          </w:p>
        </w:tc>
        <w:tc>
          <w:tcPr>
            <w:tcBorders>
              <w:top w:color="000000" w:space="0" w:sz="4" w:val="single"/>
              <w:left w:color="000000" w:space="0" w:sz="4" w:val="single"/>
              <w:bottom w:color="000000" w:space="0" w:sz="4" w:val="single"/>
              <w:right w:color="000000" w:space="0" w:sz="4" w:val="single"/>
            </w:tcBorders>
            <w:shd w:fill="1f497d" w:val="clear"/>
            <w:tcMar>
              <w:top w:w="57.0" w:type="dxa"/>
              <w:left w:w="57.0" w:type="dxa"/>
              <w:bottom w:w="57.0" w:type="dxa"/>
              <w:right w:w="57.0" w:type="dxa"/>
            </w:tcMar>
            <w:vAlign w:val="center"/>
          </w:tcPr>
          <w:p w:rsidR="00000000" w:rsidDel="00000000" w:rsidP="00000000" w:rsidRDefault="00000000" w:rsidRPr="00000000" w14:paraId="00000024">
            <w:pPr>
              <w:spacing w:after="0" w:line="240" w:lineRule="auto"/>
              <w:ind w:right="-23"/>
              <w:jc w:val="both"/>
              <w:rPr>
                <w:b w:val="1"/>
                <w:sz w:val="24"/>
                <w:szCs w:val="24"/>
              </w:rPr>
            </w:pPr>
            <w:r w:rsidDel="00000000" w:rsidR="00000000" w:rsidRPr="00000000">
              <w:rPr>
                <w:b w:val="1"/>
                <w:color w:val="ffffff"/>
                <w:sz w:val="24"/>
                <w:szCs w:val="24"/>
                <w:rtl w:val="0"/>
              </w:rPr>
              <w:t xml:space="preserve">Market Practices: Impact of Geopolitical Tension</w:t>
            </w:r>
            <w:r w:rsidDel="00000000" w:rsidR="00000000" w:rsidRPr="00000000">
              <w:rPr>
                <w:rtl w:val="0"/>
              </w:rPr>
            </w:r>
          </w:p>
        </w:tc>
      </w:tr>
      <w:tr>
        <w:trPr>
          <w:cantSplit w:val="0"/>
          <w:trHeight w:val="217" w:hRule="atLeast"/>
          <w:tblHeader w:val="0"/>
        </w:trPr>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25">
            <w:pPr>
              <w:spacing w:after="0" w:line="240" w:lineRule="auto"/>
              <w:ind w:left="102" w:right="-20" w:firstLine="0"/>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57.0" w:type="dxa"/>
              <w:bottom w:w="57.0" w:type="dxa"/>
              <w:right w:w="57.0" w:type="dxa"/>
            </w:tcMar>
          </w:tcPr>
          <w:p w:rsidR="00000000" w:rsidDel="00000000" w:rsidP="00000000" w:rsidRDefault="00000000" w:rsidRPr="00000000" w14:paraId="00000026">
            <w:pPr>
              <w:shd w:fill="ffffff" w:val="clear"/>
              <w:spacing w:after="0" w:line="240" w:lineRule="auto"/>
              <w:jc w:val="both"/>
              <w:rPr>
                <w:sz w:val="24"/>
                <w:szCs w:val="24"/>
              </w:rPr>
            </w:pPr>
            <w:r w:rsidDel="00000000" w:rsidR="00000000" w:rsidRPr="00000000">
              <w:rPr>
                <w:sz w:val="24"/>
                <w:szCs w:val="24"/>
                <w:rtl w:val="0"/>
              </w:rPr>
              <w:t xml:space="preserve">The Russian invasion of Ukraine, while first and foremost a horrific humanitarian disaster, has enormous implications for financial markets, financial contracts, and financial market dispute settlement.  Moreover, geopolitical tensions are rising elsewhere in the world and these tensions also could erupt into war or other types of heightened conflict, such as cyberwarfare, economic warfare or “grey zone” attacks with similar implications.  This panel will discuss: </w:t>
            </w:r>
          </w:p>
          <w:p w:rsidR="00000000" w:rsidDel="00000000" w:rsidP="00000000" w:rsidRDefault="00000000" w:rsidRPr="00000000" w14:paraId="00000027">
            <w:pPr>
              <w:numPr>
                <w:ilvl w:val="0"/>
                <w:numId w:val="1"/>
              </w:numPr>
              <w:shd w:fill="ffffff" w:val="clear"/>
              <w:spacing w:after="0" w:line="240" w:lineRule="auto"/>
              <w:ind w:left="940" w:hanging="360"/>
              <w:jc w:val="both"/>
              <w:rPr>
                <w:color w:val="000000"/>
              </w:rPr>
            </w:pPr>
            <w:r w:rsidDel="00000000" w:rsidR="00000000" w:rsidRPr="00000000">
              <w:rPr>
                <w:sz w:val="24"/>
                <w:szCs w:val="24"/>
                <w:rtl w:val="0"/>
              </w:rPr>
              <w:t xml:space="preserve">Possible scenarios that could result from the continuing Russian attack on Ukraine.</w:t>
            </w:r>
          </w:p>
          <w:p w:rsidR="00000000" w:rsidDel="00000000" w:rsidP="00000000" w:rsidRDefault="00000000" w:rsidRPr="00000000" w14:paraId="00000028">
            <w:pPr>
              <w:numPr>
                <w:ilvl w:val="0"/>
                <w:numId w:val="1"/>
              </w:numPr>
              <w:shd w:fill="ffffff" w:val="clear"/>
              <w:spacing w:after="0" w:line="240" w:lineRule="auto"/>
              <w:ind w:left="940" w:hanging="360"/>
              <w:jc w:val="both"/>
              <w:rPr>
                <w:color w:val="000000"/>
              </w:rPr>
            </w:pPr>
            <w:r w:rsidDel="00000000" w:rsidR="00000000" w:rsidRPr="00000000">
              <w:rPr>
                <w:sz w:val="24"/>
                <w:szCs w:val="24"/>
                <w:rtl w:val="0"/>
              </w:rPr>
              <w:t xml:space="preserve">The potential for other geopolitical tensions to escalate.</w:t>
            </w:r>
          </w:p>
          <w:p w:rsidR="00000000" w:rsidDel="00000000" w:rsidP="00000000" w:rsidRDefault="00000000" w:rsidRPr="00000000" w14:paraId="00000029">
            <w:pPr>
              <w:numPr>
                <w:ilvl w:val="0"/>
                <w:numId w:val="1"/>
              </w:numPr>
              <w:shd w:fill="ffffff" w:val="clear"/>
              <w:spacing w:after="0" w:line="240" w:lineRule="auto"/>
              <w:ind w:left="940" w:hanging="360"/>
              <w:jc w:val="both"/>
              <w:rPr>
                <w:color w:val="000000"/>
              </w:rPr>
            </w:pPr>
            <w:r w:rsidDel="00000000" w:rsidR="00000000" w:rsidRPr="00000000">
              <w:rPr>
                <w:sz w:val="24"/>
                <w:szCs w:val="24"/>
                <w:rtl w:val="0"/>
              </w:rPr>
              <w:t xml:space="preserve">The disruptive impact that war or other forms of heightened conflict, including responses to conflict such as sanctions, have on the financial markets.</w:t>
            </w:r>
          </w:p>
          <w:p w:rsidR="00000000" w:rsidDel="00000000" w:rsidP="00000000" w:rsidRDefault="00000000" w:rsidRPr="00000000" w14:paraId="0000002A">
            <w:pPr>
              <w:numPr>
                <w:ilvl w:val="0"/>
                <w:numId w:val="1"/>
              </w:numPr>
              <w:shd w:fill="ffffff" w:val="clear"/>
              <w:spacing w:after="0" w:line="240" w:lineRule="auto"/>
              <w:ind w:left="940" w:hanging="360"/>
              <w:jc w:val="both"/>
              <w:rPr>
                <w:color w:val="000000"/>
              </w:rPr>
            </w:pPr>
            <w:r w:rsidDel="00000000" w:rsidR="00000000" w:rsidRPr="00000000">
              <w:rPr>
                <w:sz w:val="24"/>
                <w:szCs w:val="24"/>
                <w:rtl w:val="0"/>
              </w:rPr>
              <w:t xml:space="preserve">The impact that heightened conflict and financial market disruption have on financial market contracts, including issues of force majeure, default, and impossibility of performance. </w:t>
            </w:r>
          </w:p>
          <w:p w:rsidR="00000000" w:rsidDel="00000000" w:rsidP="00000000" w:rsidRDefault="00000000" w:rsidRPr="00000000" w14:paraId="0000002B">
            <w:pPr>
              <w:numPr>
                <w:ilvl w:val="0"/>
                <w:numId w:val="1"/>
              </w:numPr>
              <w:shd w:fill="ffffff" w:val="clear"/>
              <w:spacing w:after="0" w:line="240" w:lineRule="auto"/>
              <w:ind w:left="940" w:hanging="360"/>
              <w:jc w:val="both"/>
              <w:rPr>
                <w:color w:val="000000"/>
              </w:rPr>
            </w:pPr>
            <w:r w:rsidDel="00000000" w:rsidR="00000000" w:rsidRPr="00000000">
              <w:rPr>
                <w:sz w:val="24"/>
                <w:szCs w:val="24"/>
                <w:rtl w:val="0"/>
              </w:rPr>
              <w:t xml:space="preserve">The implications of heightened conflict and financial market disruption for the settlement of financial market disputes.</w:t>
            </w:r>
            <w:r w:rsidDel="00000000" w:rsidR="00000000" w:rsidRPr="00000000">
              <w:rPr>
                <w:rtl w:val="0"/>
              </w:rPr>
            </w:r>
          </w:p>
          <w:p w:rsidR="00000000" w:rsidDel="00000000" w:rsidP="00000000" w:rsidRDefault="00000000" w:rsidRPr="00000000" w14:paraId="0000002C">
            <w:pPr>
              <w:spacing w:after="0" w:line="240" w:lineRule="auto"/>
              <w:ind w:right="-23"/>
              <w:jc w:val="both"/>
              <w:rPr>
                <w:b w:val="1"/>
                <w:sz w:val="24"/>
                <w:szCs w:val="24"/>
              </w:rPr>
            </w:pPr>
            <w:r w:rsidDel="00000000" w:rsidR="00000000" w:rsidRPr="00000000">
              <w:rPr>
                <w:rtl w:val="0"/>
              </w:rPr>
            </w:r>
          </w:p>
          <w:p w:rsidR="00000000" w:rsidDel="00000000" w:rsidP="00000000" w:rsidRDefault="00000000" w:rsidRPr="00000000" w14:paraId="0000002D">
            <w:pPr>
              <w:spacing w:after="0" w:line="240" w:lineRule="auto"/>
              <w:ind w:right="-23"/>
              <w:jc w:val="both"/>
              <w:rPr>
                <w:b w:val="1"/>
                <w:sz w:val="24"/>
                <w:szCs w:val="24"/>
              </w:rPr>
            </w:pPr>
            <w:r w:rsidDel="00000000" w:rsidR="00000000" w:rsidRPr="00000000">
              <w:rPr>
                <w:b w:val="1"/>
                <w:color w:val="000000"/>
                <w:sz w:val="24"/>
                <w:szCs w:val="24"/>
                <w:rtl w:val="0"/>
              </w:rPr>
              <w:t xml:space="preserve">Moderator:</w:t>
            </w:r>
            <w:r w:rsidDel="00000000" w:rsidR="00000000" w:rsidRPr="00000000">
              <w:rPr>
                <w:rtl w:val="0"/>
              </w:rPr>
            </w:r>
          </w:p>
          <w:p w:rsidR="00000000" w:rsidDel="00000000" w:rsidP="00000000" w:rsidRDefault="00000000" w:rsidRPr="00000000" w14:paraId="0000002E">
            <w:pPr>
              <w:spacing w:after="0" w:line="240" w:lineRule="auto"/>
              <w:ind w:right="137"/>
              <w:jc w:val="both"/>
              <w:rPr>
                <w:color w:val="000000"/>
                <w:sz w:val="24"/>
                <w:szCs w:val="24"/>
              </w:rPr>
            </w:pPr>
            <w:r w:rsidDel="00000000" w:rsidR="00000000" w:rsidRPr="00000000">
              <w:rPr>
                <w:b w:val="1"/>
                <w:color w:val="000000"/>
                <w:sz w:val="24"/>
                <w:szCs w:val="24"/>
                <w:rtl w:val="0"/>
              </w:rPr>
              <w:t xml:space="preserve">Rick Grove</w:t>
            </w:r>
            <w:r w:rsidDel="00000000" w:rsidR="00000000" w:rsidRPr="00000000">
              <w:rPr>
                <w:color w:val="000000"/>
                <w:sz w:val="24"/>
                <w:szCs w:val="24"/>
                <w:rtl w:val="0"/>
              </w:rPr>
              <w:t xml:space="preserve"> </w:t>
            </w:r>
            <w:r w:rsidDel="00000000" w:rsidR="00000000" w:rsidRPr="00000000">
              <w:rPr>
                <w:color w:val="3a3838"/>
                <w:sz w:val="24"/>
                <w:szCs w:val="24"/>
                <w:highlight w:val="white"/>
                <w:rtl w:val="0"/>
              </w:rPr>
              <w:t xml:space="preserve">P.R.I.M.E. Finance Management Board; Chief Executive Officer and Partner, Rutter Associates LLC (New York); former Fixed Income and Commodity Derivatives Executive, Bank of America and Paribas Capital Markets; former Chief Executive Officer, ISDA; former lawyer, Cravath, Swaine &amp; Moore (New York and London); P.R.I.M.E. Finance Expert. </w:t>
            </w:r>
            <w:r w:rsidDel="00000000" w:rsidR="00000000" w:rsidRPr="00000000">
              <w:rPr>
                <w:rtl w:val="0"/>
              </w:rPr>
            </w:r>
          </w:p>
          <w:p w:rsidR="00000000" w:rsidDel="00000000" w:rsidP="00000000" w:rsidRDefault="00000000" w:rsidRPr="00000000" w14:paraId="0000002F">
            <w:pPr>
              <w:spacing w:after="0" w:line="240" w:lineRule="auto"/>
              <w:ind w:left="164" w:right="-23" w:firstLine="0"/>
              <w:jc w:val="both"/>
              <w:rPr>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ind w:right="-23"/>
              <w:jc w:val="both"/>
              <w:rPr>
                <w:b w:val="1"/>
                <w:color w:val="000000"/>
                <w:sz w:val="24"/>
                <w:szCs w:val="24"/>
              </w:rPr>
            </w:pPr>
            <w:r w:rsidDel="00000000" w:rsidR="00000000" w:rsidRPr="00000000">
              <w:rPr>
                <w:b w:val="1"/>
                <w:color w:val="000000"/>
                <w:sz w:val="24"/>
                <w:szCs w:val="24"/>
                <w:rtl w:val="0"/>
              </w:rPr>
              <w:t xml:space="preserve">Speakers:</w:t>
            </w:r>
          </w:p>
          <w:p w:rsidR="00000000" w:rsidDel="00000000" w:rsidP="00000000" w:rsidRDefault="00000000" w:rsidRPr="00000000" w14:paraId="00000031">
            <w:pPr>
              <w:spacing w:after="0" w:line="240" w:lineRule="auto"/>
              <w:jc w:val="both"/>
              <w:rPr>
                <w:color w:val="222222"/>
                <w:sz w:val="24"/>
                <w:szCs w:val="24"/>
                <w:highlight w:val="white"/>
              </w:rPr>
            </w:pPr>
            <w:r w:rsidDel="00000000" w:rsidR="00000000" w:rsidRPr="00000000">
              <w:rPr>
                <w:b w:val="1"/>
                <w:color w:val="222222"/>
                <w:sz w:val="24"/>
                <w:szCs w:val="24"/>
                <w:highlight w:val="white"/>
                <w:rtl w:val="0"/>
              </w:rPr>
              <w:t xml:space="preserve">Robert Ward</w:t>
            </w:r>
            <w:r w:rsidDel="00000000" w:rsidR="00000000" w:rsidRPr="00000000">
              <w:rPr>
                <w:color w:val="222222"/>
                <w:sz w:val="24"/>
                <w:szCs w:val="24"/>
                <w:highlight w:val="white"/>
                <w:rtl w:val="0"/>
              </w:rPr>
              <w:t xml:space="preserve"> </w:t>
            </w:r>
            <w:r w:rsidDel="00000000" w:rsidR="00000000" w:rsidRPr="00000000">
              <w:rPr>
                <w:color w:val="1c1c1c"/>
                <w:sz w:val="24"/>
                <w:szCs w:val="24"/>
                <w:highlight w:val="white"/>
                <w:rtl w:val="0"/>
              </w:rPr>
              <w:t xml:space="preserve">Japan Chair and Director of Geo-economics and Strategy </w:t>
            </w:r>
            <w:r w:rsidDel="00000000" w:rsidR="00000000" w:rsidRPr="00000000">
              <w:rPr>
                <w:color w:val="222222"/>
                <w:sz w:val="24"/>
                <w:szCs w:val="24"/>
                <w:highlight w:val="white"/>
                <w:rtl w:val="0"/>
              </w:rPr>
              <w:t xml:space="preserve">at the International Institute for Strategic Studies (IISS), and former head of The Economist Intelligence Unit.</w:t>
            </w:r>
            <w:r w:rsidDel="00000000" w:rsidR="00000000" w:rsidRPr="00000000">
              <w:rPr>
                <w:b w:val="1"/>
                <w:color w:val="222222"/>
                <w:sz w:val="24"/>
                <w:szCs w:val="24"/>
                <w:highlight w:val="white"/>
                <w:rtl w:val="0"/>
              </w:rPr>
              <w:t xml:space="preserve"> </w:t>
            </w:r>
            <w:r w:rsidDel="00000000" w:rsidR="00000000" w:rsidRPr="00000000">
              <w:rPr>
                <w:color w:val="222222"/>
                <w:sz w:val="24"/>
                <w:szCs w:val="24"/>
                <w:highlight w:val="white"/>
                <w:rtl w:val="0"/>
              </w:rPr>
              <w:t xml:space="preserve">Leads the Institute’s Geo-economics, Geopolitics and Strategy research programme, which focuses on a range of issues including global economic governance, rules and standards setting, and how economic coercion impacts policy at a national and corporate level. Prior to joining the IISS, Robert was editorial director at The Economist Intelligence Unit and a member of the EIU’s executive committee.   </w:t>
            </w:r>
          </w:p>
          <w:p w:rsidR="00000000" w:rsidDel="00000000" w:rsidP="00000000" w:rsidRDefault="00000000" w:rsidRPr="00000000" w14:paraId="00000032">
            <w:pPr>
              <w:spacing w:after="0" w:line="24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3">
            <w:pPr>
              <w:spacing w:after="0" w:line="240" w:lineRule="auto"/>
              <w:jc w:val="both"/>
              <w:rPr>
                <w:color w:val="222222"/>
                <w:sz w:val="24"/>
                <w:szCs w:val="24"/>
                <w:highlight w:val="white"/>
              </w:rPr>
            </w:pPr>
            <w:r w:rsidDel="00000000" w:rsidR="00000000" w:rsidRPr="00000000">
              <w:rPr>
                <w:b w:val="1"/>
                <w:color w:val="222222"/>
                <w:sz w:val="24"/>
                <w:szCs w:val="24"/>
                <w:highlight w:val="white"/>
                <w:rtl w:val="0"/>
              </w:rPr>
              <w:t xml:space="preserve">Simon Firth</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Partner of Linklaters LLP, having joined the firm as a trainee in 1987, and one of the leading authorities on the law of derivatives. He is the author of </w:t>
            </w:r>
            <w:r w:rsidDel="00000000" w:rsidR="00000000" w:rsidRPr="00000000">
              <w:rPr>
                <w:i w:val="1"/>
                <w:color w:val="222222"/>
                <w:sz w:val="24"/>
                <w:szCs w:val="24"/>
                <w:highlight w:val="white"/>
                <w:rtl w:val="0"/>
              </w:rPr>
              <w:t xml:space="preserve">Firth on Derivatives Law and Practice</w:t>
            </w:r>
            <w:r w:rsidDel="00000000" w:rsidR="00000000" w:rsidRPr="00000000">
              <w:rPr>
                <w:color w:val="222222"/>
                <w:sz w:val="24"/>
                <w:szCs w:val="24"/>
                <w:highlight w:val="white"/>
                <w:rtl w:val="0"/>
              </w:rPr>
              <w:t xml:space="preserve">, the leading textbook on English derivatives law, which is frequently cited in the courts and has been followed in several important derivatives cases. He was the principal legal adviser to the English administrators of the Lehman Brothers companies on their derivatives, repo and stock lending positions and was one of the main draftsmen of the recently published 2021 ISDA Interest Rate Definitions. He is a Director of the Financial Markets Law Committee and a Visiting Professor at the University of Law. He is also a member of the P.R.I.M.E. Finance Panel of Experts.</w:t>
            </w:r>
          </w:p>
          <w:p w:rsidR="00000000" w:rsidDel="00000000" w:rsidP="00000000" w:rsidRDefault="00000000" w:rsidRPr="00000000" w14:paraId="00000034">
            <w:pPr>
              <w:spacing w:after="0" w:line="24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5">
            <w:pPr>
              <w:spacing w:after="0" w:line="240" w:lineRule="auto"/>
              <w:jc w:val="both"/>
              <w:rPr>
                <w:b w:val="1"/>
                <w:sz w:val="24"/>
                <w:szCs w:val="24"/>
                <w:highlight w:val="white"/>
              </w:rPr>
            </w:pPr>
            <w:r w:rsidDel="00000000" w:rsidR="00000000" w:rsidRPr="00000000">
              <w:rPr>
                <w:b w:val="1"/>
                <w:color w:val="222222"/>
                <w:sz w:val="24"/>
                <w:szCs w:val="24"/>
                <w:highlight w:val="white"/>
                <w:rtl w:val="0"/>
              </w:rPr>
              <w:t xml:space="preserve">Keith N</w:t>
            </w:r>
            <w:r w:rsidDel="00000000" w:rsidR="00000000" w:rsidRPr="00000000">
              <w:rPr>
                <w:b w:val="1"/>
                <w:sz w:val="24"/>
                <w:szCs w:val="24"/>
                <w:highlight w:val="white"/>
                <w:rtl w:val="0"/>
              </w:rPr>
              <w:t xml:space="preserve">oyes </w:t>
            </w:r>
            <w:r w:rsidDel="00000000" w:rsidR="00000000" w:rsidRPr="00000000">
              <w:rPr>
                <w:sz w:val="24"/>
                <w:szCs w:val="24"/>
                <w:highlight w:val="white"/>
                <w:rtl w:val="0"/>
              </w:rPr>
              <w:t xml:space="preserve">Independent non-executive Director at OTC Clearing Corporation, a subsidiary of HKEx, and Chief Risk and Compliance Officer for Covario AG, a digital asset prime brokerage. Keith was the </w:t>
            </w:r>
            <w:r w:rsidDel="00000000" w:rsidR="00000000" w:rsidRPr="00000000">
              <w:rPr>
                <w:sz w:val="24"/>
                <w:szCs w:val="24"/>
                <w:highlight w:val="white"/>
                <w:rtl w:val="0"/>
              </w:rPr>
              <w:t xml:space="preserve">Asia Pacific Regional Director of ISDA from 2007-2019, based in Hong Kong. He set up Merrill Lynch’s equity derivatives desk in Hong Kong in 1992 and has worked in finance in for over 30 years in Asia. He studied Chinese Economic Reform at Beijing University on a Dartmouth Reynolds International Scholarship in 1986-87. He is also a </w:t>
            </w:r>
            <w:r w:rsidDel="00000000" w:rsidR="00000000" w:rsidRPr="00000000">
              <w:rPr>
                <w:sz w:val="24"/>
                <w:szCs w:val="24"/>
                <w:highlight w:val="white"/>
                <w:rtl w:val="0"/>
              </w:rPr>
              <w:t xml:space="preserve">P.R.I.M.E. Finance Expert. </w:t>
            </w:r>
            <w:r w:rsidDel="00000000" w:rsidR="00000000" w:rsidRPr="00000000">
              <w:rPr>
                <w:rtl w:val="0"/>
              </w:rPr>
            </w:r>
          </w:p>
          <w:p w:rsidR="00000000" w:rsidDel="00000000" w:rsidP="00000000" w:rsidRDefault="00000000" w:rsidRPr="00000000" w14:paraId="00000036">
            <w:pPr>
              <w:spacing w:after="0" w:line="240" w:lineRule="auto"/>
              <w:ind w:right="28"/>
              <w:jc w:val="both"/>
              <w:rPr>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0" w:line="240" w:lineRule="auto"/>
              <w:ind w:right="-20"/>
              <w:jc w:val="both"/>
              <w:rPr>
                <w:sz w:val="24"/>
                <w:szCs w:val="24"/>
              </w:rPr>
            </w:pPr>
            <w:r w:rsidDel="00000000" w:rsidR="00000000" w:rsidRPr="00000000">
              <w:rPr>
                <w:sz w:val="24"/>
                <w:szCs w:val="24"/>
                <w:rtl w:val="0"/>
              </w:rPr>
              <w:t xml:space="preserve">12:15  – 1:00</w:t>
            </w:r>
          </w:p>
        </w:tc>
        <w:tc>
          <w:tcPr>
            <w:tcBorders>
              <w:top w:color="000000" w:space="0" w:sz="4" w:val="single"/>
              <w:left w:color="000000" w:space="0" w:sz="4" w:val="single"/>
              <w:bottom w:color="000000" w:space="0" w:sz="4" w:val="single"/>
              <w:right w:color="000000" w:space="0" w:sz="4" w:val="single"/>
            </w:tcBorders>
            <w:shd w:fill="1f497c" w:val="clear"/>
            <w:vAlign w:val="center"/>
          </w:tcPr>
          <w:p w:rsidR="00000000" w:rsidDel="00000000" w:rsidP="00000000" w:rsidRDefault="00000000" w:rsidRPr="00000000" w14:paraId="00000038">
            <w:pPr>
              <w:spacing w:after="0" w:line="240" w:lineRule="auto"/>
              <w:ind w:right="-23"/>
              <w:jc w:val="both"/>
              <w:rPr>
                <w:b w:val="1"/>
                <w:sz w:val="24"/>
                <w:szCs w:val="24"/>
              </w:rPr>
            </w:pPr>
            <w:r w:rsidDel="00000000" w:rsidR="00000000" w:rsidRPr="00000000">
              <w:rPr>
                <w:b w:val="1"/>
                <w:color w:val="ffffff"/>
                <w:sz w:val="24"/>
                <w:szCs w:val="24"/>
                <w:rtl w:val="0"/>
              </w:rPr>
              <w:t xml:space="preserve">Introduction to the P.R.I.M.E. Finance Arbitration Rules</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line="240" w:lineRule="auto"/>
              <w:ind w:right="-20"/>
              <w:jc w:val="both"/>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ind w:left="11" w:right="-20" w:firstLine="0"/>
              <w:jc w:val="both"/>
              <w:rPr>
                <w:b w:val="1"/>
                <w:sz w:val="24"/>
                <w:szCs w:val="24"/>
              </w:rPr>
            </w:pPr>
            <w:r w:rsidDel="00000000" w:rsidR="00000000" w:rsidRPr="00000000">
              <w:rPr>
                <w:sz w:val="24"/>
                <w:szCs w:val="24"/>
                <w:rtl w:val="0"/>
              </w:rPr>
              <w:t xml:space="preserve">The P.R.I.M.E. Finance Arbitration Rules were relaunched in 2021. This session will review key features of the process envisaged by the Rules. </w:t>
            </w:r>
            <w:r w:rsidDel="00000000" w:rsidR="00000000" w:rsidRPr="00000000">
              <w:rPr>
                <w:b w:val="1"/>
                <w:sz w:val="24"/>
                <w:szCs w:val="24"/>
                <w:rtl w:val="0"/>
              </w:rPr>
              <w:t xml:space="preserve"> </w:t>
            </w:r>
          </w:p>
          <w:p w:rsidR="00000000" w:rsidDel="00000000" w:rsidP="00000000" w:rsidRDefault="00000000" w:rsidRPr="00000000" w14:paraId="0000003B">
            <w:pPr>
              <w:spacing w:after="0" w:line="240" w:lineRule="auto"/>
              <w:ind w:left="11" w:right="-20" w:firstLine="0"/>
              <w:jc w:val="both"/>
              <w:rPr>
                <w:sz w:val="24"/>
                <w:szCs w:val="24"/>
              </w:rPr>
            </w:pPr>
            <w:r w:rsidDel="00000000" w:rsidR="00000000" w:rsidRPr="00000000">
              <w:rPr>
                <w:rtl w:val="0"/>
              </w:rPr>
            </w:r>
          </w:p>
          <w:p w:rsidR="00000000" w:rsidDel="00000000" w:rsidP="00000000" w:rsidRDefault="00000000" w:rsidRPr="00000000" w14:paraId="0000003C">
            <w:pPr>
              <w:spacing w:after="0" w:line="240" w:lineRule="auto"/>
              <w:ind w:left="11" w:right="-20" w:firstLine="0"/>
              <w:jc w:val="both"/>
              <w:rPr>
                <w:b w:val="1"/>
                <w:sz w:val="24"/>
                <w:szCs w:val="24"/>
              </w:rPr>
            </w:pPr>
            <w:r w:rsidDel="00000000" w:rsidR="00000000" w:rsidRPr="00000000">
              <w:rPr>
                <w:b w:val="1"/>
                <w:sz w:val="24"/>
                <w:szCs w:val="24"/>
                <w:rtl w:val="0"/>
              </w:rPr>
              <w:t xml:space="preserve">Moderator: </w:t>
            </w:r>
          </w:p>
          <w:p w:rsidR="00000000" w:rsidDel="00000000" w:rsidP="00000000" w:rsidRDefault="00000000" w:rsidRPr="00000000" w14:paraId="0000003D">
            <w:pPr>
              <w:spacing w:after="0" w:line="240" w:lineRule="auto"/>
              <w:ind w:left="11" w:right="-20" w:firstLine="0"/>
              <w:jc w:val="both"/>
              <w:rPr>
                <w:b w:val="1"/>
                <w:sz w:val="24"/>
                <w:szCs w:val="24"/>
              </w:rPr>
            </w:pPr>
            <w:r w:rsidDel="00000000" w:rsidR="00000000" w:rsidRPr="00000000">
              <w:rPr>
                <w:rtl w:val="0"/>
              </w:rPr>
            </w:r>
          </w:p>
          <w:p w:rsidR="00000000" w:rsidDel="00000000" w:rsidP="00000000" w:rsidRDefault="00000000" w:rsidRPr="00000000" w14:paraId="0000003E">
            <w:pPr>
              <w:spacing w:after="0" w:line="240" w:lineRule="auto"/>
              <w:ind w:left="11" w:right="-20" w:firstLine="0"/>
              <w:jc w:val="both"/>
              <w:rPr>
                <w:sz w:val="24"/>
                <w:szCs w:val="24"/>
                <w:highlight w:val="white"/>
              </w:rPr>
            </w:pPr>
            <w:r w:rsidDel="00000000" w:rsidR="00000000" w:rsidRPr="00000000">
              <w:rPr>
                <w:b w:val="1"/>
                <w:sz w:val="24"/>
                <w:szCs w:val="24"/>
                <w:rtl w:val="0"/>
              </w:rPr>
              <w:t xml:space="preserve">Hannah Ambrose</w:t>
            </w:r>
            <w:r w:rsidDel="00000000" w:rsidR="00000000" w:rsidRPr="00000000">
              <w:rPr>
                <w:sz w:val="24"/>
                <w:szCs w:val="24"/>
                <w:rtl w:val="0"/>
              </w:rPr>
              <w:t xml:space="preserve"> </w:t>
            </w:r>
            <w:r w:rsidDel="00000000" w:rsidR="00000000" w:rsidRPr="00000000">
              <w:rPr>
                <w:sz w:val="24"/>
                <w:szCs w:val="24"/>
                <w:highlight w:val="white"/>
                <w:rtl w:val="0"/>
              </w:rPr>
              <w:t xml:space="preserve">Senior Associate and advocate in the international arbitration and public international law group; </w:t>
            </w:r>
            <w:r w:rsidDel="00000000" w:rsidR="00000000" w:rsidRPr="00000000">
              <w:rPr>
                <w:i w:val="1"/>
                <w:sz w:val="24"/>
                <w:szCs w:val="24"/>
                <w:highlight w:val="white"/>
                <w:rtl w:val="0"/>
              </w:rPr>
              <w:t xml:space="preserve">Legal 500</w:t>
            </w:r>
            <w:r w:rsidDel="00000000" w:rsidR="00000000" w:rsidRPr="00000000">
              <w:rPr>
                <w:sz w:val="24"/>
                <w:szCs w:val="24"/>
                <w:highlight w:val="white"/>
                <w:rtl w:val="0"/>
              </w:rPr>
              <w:t xml:space="preserve"> Rising Star for International Arbitration and for Public International Law; co-author of chapters on Arbitration, ADR and Enforcement of Foreign Judgments in Blackstone's Civil Practice (pub. OUP); trustee of The International Lawyers Project.</w:t>
            </w:r>
          </w:p>
          <w:p w:rsidR="00000000" w:rsidDel="00000000" w:rsidP="00000000" w:rsidRDefault="00000000" w:rsidRPr="00000000" w14:paraId="0000003F">
            <w:pPr>
              <w:spacing w:after="0" w:line="240" w:lineRule="auto"/>
              <w:ind w:left="11" w:right="-20" w:firstLine="0"/>
              <w:jc w:val="both"/>
              <w:rPr>
                <w:sz w:val="24"/>
                <w:szCs w:val="24"/>
                <w:highlight w:val="white"/>
              </w:rPr>
            </w:pPr>
            <w:r w:rsidDel="00000000" w:rsidR="00000000" w:rsidRPr="00000000">
              <w:rPr>
                <w:rtl w:val="0"/>
              </w:rPr>
            </w:r>
          </w:p>
          <w:p w:rsidR="00000000" w:rsidDel="00000000" w:rsidP="00000000" w:rsidRDefault="00000000" w:rsidRPr="00000000" w14:paraId="00000040">
            <w:pPr>
              <w:spacing w:after="0" w:line="240" w:lineRule="auto"/>
              <w:ind w:left="0" w:right="-20" w:firstLine="0"/>
              <w:jc w:val="both"/>
              <w:rPr>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left="0" w:right="-20" w:firstLine="0"/>
              <w:jc w:val="both"/>
              <w:rPr>
                <w:b w:val="1"/>
                <w:sz w:val="24"/>
                <w:szCs w:val="24"/>
              </w:rPr>
            </w:pPr>
            <w:r w:rsidDel="00000000" w:rsidR="00000000" w:rsidRPr="00000000">
              <w:rPr>
                <w:rtl w:val="0"/>
              </w:rPr>
            </w:r>
          </w:p>
          <w:p w:rsidR="00000000" w:rsidDel="00000000" w:rsidP="00000000" w:rsidRDefault="00000000" w:rsidRPr="00000000" w14:paraId="00000042">
            <w:pPr>
              <w:spacing w:after="0" w:line="240" w:lineRule="auto"/>
              <w:ind w:left="0" w:right="-20" w:firstLine="0"/>
              <w:jc w:val="both"/>
              <w:rPr>
                <w:b w:val="1"/>
                <w:sz w:val="24"/>
                <w:szCs w:val="24"/>
              </w:rPr>
            </w:pPr>
            <w:r w:rsidDel="00000000" w:rsidR="00000000" w:rsidRPr="00000000">
              <w:rPr>
                <w:b w:val="1"/>
                <w:sz w:val="24"/>
                <w:szCs w:val="24"/>
                <w:rtl w:val="0"/>
              </w:rPr>
              <w:t xml:space="preserve">Speakers:</w:t>
            </w:r>
          </w:p>
          <w:p w:rsidR="00000000" w:rsidDel="00000000" w:rsidP="00000000" w:rsidRDefault="00000000" w:rsidRPr="00000000" w14:paraId="00000043">
            <w:pPr>
              <w:spacing w:after="0" w:line="240" w:lineRule="auto"/>
              <w:ind w:left="11" w:right="-20" w:firstLine="0"/>
              <w:jc w:val="both"/>
              <w:rPr>
                <w:b w:val="1"/>
                <w:sz w:val="24"/>
                <w:szCs w:val="24"/>
              </w:rPr>
            </w:pPr>
            <w:r w:rsidDel="00000000" w:rsidR="00000000" w:rsidRPr="00000000">
              <w:rPr>
                <w:rtl w:val="0"/>
              </w:rPr>
            </w:r>
          </w:p>
          <w:p w:rsidR="00000000" w:rsidDel="00000000" w:rsidP="00000000" w:rsidRDefault="00000000" w:rsidRPr="00000000" w14:paraId="00000044">
            <w:pPr>
              <w:spacing w:after="0" w:line="240" w:lineRule="auto"/>
              <w:ind w:left="11" w:right="-20" w:firstLine="0"/>
              <w:jc w:val="both"/>
              <w:rPr>
                <w:b w:val="1"/>
                <w:sz w:val="24"/>
                <w:szCs w:val="24"/>
              </w:rPr>
            </w:pPr>
            <w:r w:rsidDel="00000000" w:rsidR="00000000" w:rsidRPr="00000000">
              <w:rPr>
                <w:b w:val="1"/>
                <w:sz w:val="24"/>
                <w:szCs w:val="24"/>
                <w:rtl w:val="0"/>
              </w:rPr>
              <w:t xml:space="preserve">Camilla Macpherson </w:t>
            </w:r>
            <w:r w:rsidDel="00000000" w:rsidR="00000000" w:rsidRPr="00000000">
              <w:rPr>
                <w:sz w:val="24"/>
                <w:szCs w:val="24"/>
                <w:rtl w:val="0"/>
              </w:rPr>
              <w:t xml:space="preserve">Head of Secretariat, P.R.I.M.E. Finance; DipCIArb; guest lecturer on the University of Leiden’s International Dispute Settlement and Advocacy advanced master’s programme; and member of the International Committee of the Law Society of England and Wales.</w:t>
            </w:r>
            <w:r w:rsidDel="00000000" w:rsidR="00000000" w:rsidRPr="00000000">
              <w:rPr>
                <w:rtl w:val="0"/>
              </w:rPr>
            </w:r>
          </w:p>
          <w:p w:rsidR="00000000" w:rsidDel="00000000" w:rsidP="00000000" w:rsidRDefault="00000000" w:rsidRPr="00000000" w14:paraId="00000045">
            <w:pPr>
              <w:spacing w:after="0" w:line="240" w:lineRule="auto"/>
              <w:ind w:left="11" w:right="-20" w:firstLine="0"/>
              <w:jc w:val="both"/>
              <w:rPr>
                <w:sz w:val="24"/>
                <w:szCs w:val="24"/>
                <w:highlight w:val="white"/>
              </w:rPr>
            </w:pPr>
            <w:r w:rsidDel="00000000" w:rsidR="00000000" w:rsidRPr="00000000">
              <w:rPr>
                <w:rtl w:val="0"/>
              </w:rPr>
            </w:r>
          </w:p>
          <w:p w:rsidR="00000000" w:rsidDel="00000000" w:rsidP="00000000" w:rsidRDefault="00000000" w:rsidRPr="00000000" w14:paraId="00000046">
            <w:pPr>
              <w:spacing w:after="0" w:line="240" w:lineRule="auto"/>
              <w:ind w:left="11" w:right="-20" w:firstLine="0"/>
              <w:jc w:val="both"/>
              <w:rPr>
                <w:color w:val="222222"/>
                <w:sz w:val="24"/>
                <w:szCs w:val="24"/>
                <w:highlight w:val="white"/>
              </w:rPr>
            </w:pPr>
            <w:r w:rsidDel="00000000" w:rsidR="00000000" w:rsidRPr="00000000">
              <w:rPr>
                <w:b w:val="1"/>
                <w:sz w:val="24"/>
                <w:szCs w:val="24"/>
                <w:highlight w:val="white"/>
                <w:rtl w:val="0"/>
              </w:rPr>
              <w:t xml:space="preserve">Loukas Mistelis </w:t>
            </w:r>
            <w:r w:rsidDel="00000000" w:rsidR="00000000" w:rsidRPr="00000000">
              <w:rPr>
                <w:sz w:val="24"/>
                <w:szCs w:val="24"/>
                <w:highlight w:val="white"/>
                <w:rtl w:val="0"/>
              </w:rPr>
              <w:t xml:space="preserve">Partner, International Arbitration, Clyde &amp; Co LLP; former</w:t>
            </w:r>
            <w:r w:rsidDel="00000000" w:rsidR="00000000" w:rsidRPr="00000000">
              <w:rPr>
                <w:rFonts w:ascii="Arial" w:cs="Arial" w:eastAsia="Arial" w:hAnsi="Arial"/>
                <w:b w:val="1"/>
                <w:highlight w:val="white"/>
                <w:rtl w:val="0"/>
              </w:rPr>
              <w:t xml:space="preserve"> </w:t>
            </w:r>
            <w:r w:rsidDel="00000000" w:rsidR="00000000" w:rsidRPr="00000000">
              <w:rPr>
                <w:sz w:val="24"/>
                <w:szCs w:val="24"/>
                <w:highlight w:val="white"/>
                <w:rtl w:val="0"/>
              </w:rPr>
              <w:t xml:space="preserve">Director, QMUL-UNIDROIT Institute of Transnational Commercial La</w:t>
            </w:r>
            <w:r w:rsidDel="00000000" w:rsidR="00000000" w:rsidRPr="00000000">
              <w:rPr>
                <w:color w:val="222222"/>
                <w:sz w:val="24"/>
                <w:szCs w:val="24"/>
                <w:highlight w:val="white"/>
                <w:rtl w:val="0"/>
              </w:rPr>
              <w:t xml:space="preserve">w and Clive M Schmitthoff Professor of Transnational Commercial Law and Arbitration, Queen Mary University of London; P.R.I.M.E. Finance Expert. </w:t>
            </w:r>
          </w:p>
          <w:p w:rsidR="00000000" w:rsidDel="00000000" w:rsidP="00000000" w:rsidRDefault="00000000" w:rsidRPr="00000000" w14:paraId="00000047">
            <w:pPr>
              <w:spacing w:after="0" w:line="240" w:lineRule="auto"/>
              <w:ind w:left="11" w:right="-20" w:firstLine="0"/>
              <w:jc w:val="both"/>
              <w:rPr>
                <w:color w:val="222222"/>
                <w:sz w:val="24"/>
                <w:szCs w:val="24"/>
                <w:highlight w:val="white"/>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line="240" w:lineRule="auto"/>
              <w:ind w:right="-20"/>
              <w:jc w:val="both"/>
              <w:rPr>
                <w:sz w:val="24"/>
                <w:szCs w:val="24"/>
              </w:rPr>
            </w:pPr>
            <w:r w:rsidDel="00000000" w:rsidR="00000000" w:rsidRPr="00000000">
              <w:rPr>
                <w:sz w:val="24"/>
                <w:szCs w:val="24"/>
                <w:rtl w:val="0"/>
              </w:rPr>
              <w:t xml:space="preserve">1:00 – 2:00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ind w:left="11" w:right="-20" w:firstLine="0"/>
              <w:jc w:val="both"/>
              <w:rPr>
                <w:b w:val="1"/>
                <w:sz w:val="24"/>
                <w:szCs w:val="24"/>
              </w:rPr>
            </w:pPr>
            <w:r w:rsidDel="00000000" w:rsidR="00000000" w:rsidRPr="00000000">
              <w:rPr>
                <w:b w:val="1"/>
                <w:sz w:val="24"/>
                <w:szCs w:val="24"/>
                <w:rtl w:val="0"/>
              </w:rPr>
              <w:t xml:space="preserve">Lunch break sponsored by Jones Day</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0" w:line="240" w:lineRule="auto"/>
              <w:ind w:right="-20"/>
              <w:jc w:val="both"/>
              <w:rPr>
                <w:sz w:val="24"/>
                <w:szCs w:val="24"/>
              </w:rPr>
            </w:pPr>
            <w:r w:rsidDel="00000000" w:rsidR="00000000" w:rsidRPr="00000000">
              <w:rPr>
                <w:sz w:val="24"/>
                <w:szCs w:val="24"/>
                <w:rtl w:val="0"/>
              </w:rPr>
              <w:t xml:space="preserve">2:00 – 3:15</w:t>
            </w:r>
          </w:p>
        </w:tc>
        <w:tc>
          <w:tcPr>
            <w:tcBorders>
              <w:top w:color="000000" w:space="0" w:sz="4" w:val="single"/>
              <w:left w:color="000000" w:space="0" w:sz="4" w:val="single"/>
              <w:bottom w:color="000000" w:space="0" w:sz="4" w:val="single"/>
              <w:right w:color="000000" w:space="0" w:sz="4" w:val="single"/>
            </w:tcBorders>
            <w:shd w:fill="1f497c" w:val="clear"/>
            <w:vAlign w:val="center"/>
          </w:tcPr>
          <w:p w:rsidR="00000000" w:rsidDel="00000000" w:rsidP="00000000" w:rsidRDefault="00000000" w:rsidRPr="00000000" w14:paraId="0000004B">
            <w:pPr>
              <w:spacing w:after="0" w:line="240" w:lineRule="auto"/>
              <w:ind w:right="-23"/>
              <w:jc w:val="both"/>
              <w:rPr>
                <w:b w:val="1"/>
                <w:sz w:val="24"/>
                <w:szCs w:val="24"/>
              </w:rPr>
            </w:pPr>
            <w:r w:rsidDel="00000000" w:rsidR="00000000" w:rsidRPr="00000000">
              <w:rPr>
                <w:b w:val="1"/>
                <w:color w:val="ffffff"/>
                <w:sz w:val="24"/>
                <w:szCs w:val="24"/>
                <w:rtl w:val="0"/>
              </w:rPr>
              <w:t xml:space="preserve">Sustainable Finance: Questions and Answers </w:t>
            </w:r>
            <w:r w:rsidDel="00000000" w:rsidR="00000000" w:rsidRPr="00000000">
              <w:rPr>
                <w:rtl w:val="0"/>
              </w:rPr>
            </w:r>
          </w:p>
        </w:tc>
      </w:tr>
      <w:tr>
        <w:trPr>
          <w:cantSplit w:val="0"/>
          <w:trHeight w:val="3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40" w:lineRule="auto"/>
              <w:ind w:right="142"/>
              <w:jc w:val="both"/>
              <w:rPr>
                <w:sz w:val="24"/>
                <w:szCs w:val="24"/>
              </w:rPr>
            </w:pPr>
            <w:r w:rsidDel="00000000" w:rsidR="00000000" w:rsidRPr="00000000">
              <w:rPr>
                <w:color w:val="000000"/>
                <w:sz w:val="24"/>
                <w:szCs w:val="24"/>
                <w:rtl w:val="0"/>
              </w:rPr>
              <w:t xml:space="preserve">Sustainable finance, broadly speaking, addresses the growing focus on environmental, social and governance (ESG) considerations in making investment decisions. This panel will consider new risks and opportunities, the implications for fiduciary duties and disputes on the horizon. It will be presented in a question and answer format and offer</w:t>
            </w:r>
            <w:r w:rsidDel="00000000" w:rsidR="00000000" w:rsidRPr="00000000">
              <w:rPr>
                <w:sz w:val="24"/>
                <w:szCs w:val="24"/>
                <w:rtl w:val="0"/>
              </w:rPr>
              <w:t xml:space="preserve"> a range of </w:t>
            </w:r>
            <w:r w:rsidDel="00000000" w:rsidR="00000000" w:rsidRPr="00000000">
              <w:rPr>
                <w:color w:val="000000"/>
                <w:sz w:val="24"/>
                <w:szCs w:val="24"/>
                <w:rtl w:val="0"/>
              </w:rPr>
              <w:t xml:space="preserve">perspectives on the issues.</w:t>
            </w:r>
            <w:r w:rsidDel="00000000" w:rsidR="00000000" w:rsidRPr="00000000">
              <w:rPr>
                <w:rtl w:val="0"/>
              </w:rPr>
            </w:r>
          </w:p>
          <w:p w:rsidR="00000000" w:rsidDel="00000000" w:rsidP="00000000" w:rsidRDefault="00000000" w:rsidRPr="00000000" w14:paraId="0000004F">
            <w:pPr>
              <w:spacing w:after="0" w:line="240" w:lineRule="auto"/>
              <w:ind w:left="170" w:right="142" w:firstLine="0"/>
              <w:jc w:val="both"/>
              <w:rPr>
                <w:b w:val="1"/>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ind w:right="-23"/>
              <w:jc w:val="both"/>
              <w:rPr>
                <w:b w:val="1"/>
                <w:color w:val="000000"/>
                <w:sz w:val="24"/>
                <w:szCs w:val="24"/>
              </w:rPr>
            </w:pPr>
            <w:r w:rsidDel="00000000" w:rsidR="00000000" w:rsidRPr="00000000">
              <w:rPr>
                <w:b w:val="1"/>
                <w:color w:val="000000"/>
                <w:sz w:val="24"/>
                <w:szCs w:val="24"/>
                <w:rtl w:val="0"/>
              </w:rPr>
              <w:t xml:space="preserve">Moderator:</w:t>
            </w:r>
          </w:p>
          <w:p w:rsidR="00000000" w:rsidDel="00000000" w:rsidP="00000000" w:rsidRDefault="00000000" w:rsidRPr="00000000" w14:paraId="00000051">
            <w:pPr>
              <w:spacing w:after="0" w:line="240" w:lineRule="auto"/>
              <w:ind w:right="-20"/>
              <w:jc w:val="both"/>
              <w:rPr>
                <w:sz w:val="24"/>
                <w:szCs w:val="24"/>
                <w:highlight w:val="yellow"/>
              </w:rPr>
            </w:pPr>
            <w:r w:rsidDel="00000000" w:rsidR="00000000" w:rsidRPr="00000000">
              <w:rPr>
                <w:b w:val="1"/>
                <w:color w:val="000000"/>
                <w:sz w:val="24"/>
                <w:szCs w:val="24"/>
                <w:rtl w:val="0"/>
              </w:rPr>
              <w:t xml:space="preserve">Ida Levine</w:t>
            </w:r>
            <w:r w:rsidDel="00000000" w:rsidR="00000000" w:rsidRPr="00000000">
              <w:rPr>
                <w:b w:val="1"/>
                <w:sz w:val="24"/>
                <w:szCs w:val="24"/>
                <w:rtl w:val="0"/>
              </w:rPr>
              <w:t xml:space="preserve"> </w:t>
            </w:r>
            <w:r w:rsidDel="00000000" w:rsidR="00000000" w:rsidRPr="00000000">
              <w:rPr>
                <w:sz w:val="24"/>
                <w:szCs w:val="24"/>
                <w:highlight w:val="white"/>
                <w:rtl w:val="0"/>
              </w:rPr>
              <w:t xml:space="preserve">Principal, Two Rivers Associates Ltd, London; Board and Lead Expert on Policy, Impact Investing Institute; Member, Financial Markets Law Committee (founded by the Bank of England); Advisory Board, UCLA institute for Carbon Management; Chair, Securities Regulation Committee of the International Law Association; former Board Director/Senior Vice President and Senior Counsel, Capital Group - American Funds; former European Counsel, JP Morgan Investment Management; former Partner, Jones Day; Management Board of P.R.I.M.E. Finance Foundation and P.R.I.M.E Finance Expert.  </w:t>
            </w:r>
            <w:r w:rsidDel="00000000" w:rsidR="00000000" w:rsidRPr="00000000">
              <w:rPr>
                <w:rtl w:val="0"/>
              </w:rPr>
            </w:r>
          </w:p>
          <w:p w:rsidR="00000000" w:rsidDel="00000000" w:rsidP="00000000" w:rsidRDefault="00000000" w:rsidRPr="00000000" w14:paraId="00000052">
            <w:pPr>
              <w:spacing w:after="0" w:line="240" w:lineRule="auto"/>
              <w:ind w:left="0" w:right="142" w:firstLine="0"/>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ind w:right="142"/>
              <w:jc w:val="both"/>
              <w:rPr>
                <w:b w:val="1"/>
                <w:color w:val="000000"/>
                <w:sz w:val="24"/>
                <w:szCs w:val="24"/>
              </w:rPr>
            </w:pPr>
            <w:r w:rsidDel="00000000" w:rsidR="00000000" w:rsidRPr="00000000">
              <w:rPr>
                <w:b w:val="1"/>
                <w:color w:val="000000"/>
                <w:sz w:val="24"/>
                <w:szCs w:val="24"/>
                <w:rtl w:val="0"/>
              </w:rPr>
              <w:t xml:space="preserve">Speakers:</w:t>
            </w:r>
          </w:p>
          <w:p w:rsidR="00000000" w:rsidDel="00000000" w:rsidP="00000000" w:rsidRDefault="00000000" w:rsidRPr="00000000" w14:paraId="00000054">
            <w:pPr>
              <w:spacing w:after="0" w:line="240" w:lineRule="auto"/>
              <w:ind w:right="142"/>
              <w:jc w:val="both"/>
              <w:rPr>
                <w:b w:val="1"/>
                <w:sz w:val="24"/>
                <w:szCs w:val="24"/>
              </w:rPr>
            </w:pPr>
            <w:r w:rsidDel="00000000" w:rsidR="00000000" w:rsidRPr="00000000">
              <w:rPr>
                <w:rtl w:val="0"/>
              </w:rPr>
            </w:r>
          </w:p>
          <w:p w:rsidR="00000000" w:rsidDel="00000000" w:rsidP="00000000" w:rsidRDefault="00000000" w:rsidRPr="00000000" w14:paraId="00000055">
            <w:pPr>
              <w:spacing w:after="0" w:line="240" w:lineRule="auto"/>
              <w:ind w:right="142"/>
              <w:jc w:val="both"/>
              <w:rPr>
                <w:color w:val="0a0a0a"/>
                <w:sz w:val="24"/>
                <w:szCs w:val="24"/>
              </w:rPr>
            </w:pPr>
            <w:r w:rsidDel="00000000" w:rsidR="00000000" w:rsidRPr="00000000">
              <w:rPr>
                <w:b w:val="1"/>
                <w:sz w:val="24"/>
                <w:szCs w:val="24"/>
                <w:rtl w:val="0"/>
              </w:rPr>
              <w:t xml:space="preserve">Claude Br</w:t>
            </w:r>
            <w:r w:rsidDel="00000000" w:rsidR="00000000" w:rsidRPr="00000000">
              <w:rPr>
                <w:b w:val="1"/>
                <w:color w:val="0a0a0a"/>
                <w:sz w:val="24"/>
                <w:szCs w:val="24"/>
                <w:rtl w:val="0"/>
              </w:rPr>
              <w:t xml:space="preserve">own</w:t>
            </w:r>
            <w:r w:rsidDel="00000000" w:rsidR="00000000" w:rsidRPr="00000000">
              <w:rPr>
                <w:color w:val="0a0a0a"/>
                <w:sz w:val="24"/>
                <w:szCs w:val="24"/>
                <w:rtl w:val="0"/>
              </w:rPr>
              <w:t xml:space="preserve"> </w:t>
            </w:r>
            <w:r w:rsidDel="00000000" w:rsidR="00000000" w:rsidRPr="00000000">
              <w:rPr>
                <w:color w:val="0a0a0a"/>
                <w:sz w:val="24"/>
                <w:szCs w:val="24"/>
                <w:highlight w:val="white"/>
                <w:rtl w:val="0"/>
              </w:rPr>
              <w:t xml:space="preserve">Partner in the Financial Industry </w:t>
            </w:r>
            <w:r w:rsidDel="00000000" w:rsidR="00000000" w:rsidRPr="00000000">
              <w:rPr>
                <w:color w:val="0a0a0a"/>
                <w:sz w:val="24"/>
                <w:szCs w:val="24"/>
                <w:rtl w:val="0"/>
              </w:rPr>
              <w:t xml:space="preserve"> </w:t>
            </w:r>
            <w:r w:rsidDel="00000000" w:rsidR="00000000" w:rsidRPr="00000000">
              <w:rPr>
                <w:color w:val="0a0a0a"/>
                <w:sz w:val="24"/>
                <w:szCs w:val="24"/>
                <w:rtl w:val="0"/>
              </w:rPr>
              <w:t xml:space="preserve">and ESG Groups</w:t>
            </w:r>
            <w:r w:rsidDel="00000000" w:rsidR="00000000" w:rsidRPr="00000000">
              <w:rPr>
                <w:color w:val="0a0a0a"/>
                <w:sz w:val="24"/>
                <w:szCs w:val="24"/>
                <w:rtl w:val="0"/>
              </w:rPr>
              <w:t xml:space="preserve"> </w:t>
            </w:r>
            <w:r w:rsidDel="00000000" w:rsidR="00000000" w:rsidRPr="00000000">
              <w:rPr>
                <w:color w:val="0a0a0a"/>
                <w:sz w:val="24"/>
                <w:szCs w:val="24"/>
                <w:highlight w:val="white"/>
                <w:rtl w:val="0"/>
              </w:rPr>
              <w:t xml:space="preserve">of Reed Smith, European Committee member of the International Energy Credit Officers Association. Former board director of the Weather Risk Managers Association. Former Head of non-Yen Fixed Income and Derivatives at Taiyo Kobe International. Member  of the Financial Market Law Committee; P.R.I.M.E. Finance Expert. </w:t>
            </w:r>
            <w:r w:rsidDel="00000000" w:rsidR="00000000" w:rsidRPr="00000000">
              <w:rPr>
                <w:rtl w:val="0"/>
              </w:rPr>
            </w:r>
          </w:p>
          <w:p w:rsidR="00000000" w:rsidDel="00000000" w:rsidP="00000000" w:rsidRDefault="00000000" w:rsidRPr="00000000" w14:paraId="00000056">
            <w:pPr>
              <w:spacing w:after="0" w:line="240" w:lineRule="auto"/>
              <w:ind w:right="142"/>
              <w:jc w:val="both"/>
              <w:rPr>
                <w:sz w:val="24"/>
                <w:szCs w:val="24"/>
              </w:rPr>
            </w:pPr>
            <w:r w:rsidDel="00000000" w:rsidR="00000000" w:rsidRPr="00000000">
              <w:rPr>
                <w:rtl w:val="0"/>
              </w:rPr>
            </w:r>
          </w:p>
          <w:p w:rsidR="00000000" w:rsidDel="00000000" w:rsidP="00000000" w:rsidRDefault="00000000" w:rsidRPr="00000000" w14:paraId="00000057">
            <w:pPr>
              <w:spacing w:after="0" w:line="240" w:lineRule="auto"/>
              <w:ind w:right="-20"/>
              <w:jc w:val="both"/>
              <w:rPr>
                <w:color w:val="0a0a0a"/>
                <w:sz w:val="24"/>
                <w:szCs w:val="24"/>
              </w:rPr>
            </w:pPr>
            <w:r w:rsidDel="00000000" w:rsidR="00000000" w:rsidRPr="00000000">
              <w:rPr>
                <w:b w:val="1"/>
                <w:color w:val="000000"/>
                <w:sz w:val="24"/>
                <w:szCs w:val="24"/>
                <w:rtl w:val="0"/>
              </w:rPr>
              <w:t xml:space="preserve">Heikki Cantell</w:t>
            </w:r>
            <w:r w:rsidDel="00000000" w:rsidR="00000000" w:rsidRPr="00000000">
              <w:rPr>
                <w:b w:val="1"/>
                <w:color w:val="0a0a0a"/>
                <w:sz w:val="24"/>
                <w:szCs w:val="24"/>
                <w:rtl w:val="0"/>
              </w:rPr>
              <w:t xml:space="preserve"> </w:t>
            </w:r>
            <w:r w:rsidDel="00000000" w:rsidR="00000000" w:rsidRPr="00000000">
              <w:rPr>
                <w:color w:val="0a0a0a"/>
                <w:sz w:val="24"/>
                <w:szCs w:val="24"/>
                <w:rtl w:val="0"/>
              </w:rPr>
              <w:t xml:space="preserve">General Counsel and Head of Legal Department, Secretary General, Nordic Investment Bank; former General Counsel, Council of Europe Development Bank; former Head of Branch, Heikki Haapaniemi Law Firm (Paris); P.R.I.M.E. Finance Expert. </w:t>
            </w:r>
          </w:p>
          <w:p w:rsidR="00000000" w:rsidDel="00000000" w:rsidP="00000000" w:rsidRDefault="00000000" w:rsidRPr="00000000" w14:paraId="00000058">
            <w:pPr>
              <w:spacing w:after="0" w:line="240" w:lineRule="auto"/>
              <w:ind w:right="-20"/>
              <w:jc w:val="both"/>
              <w:rPr>
                <w:b w:val="1"/>
                <w:sz w:val="24"/>
                <w:szCs w:val="24"/>
              </w:rPr>
            </w:pPr>
            <w:r w:rsidDel="00000000" w:rsidR="00000000" w:rsidRPr="00000000">
              <w:rPr>
                <w:rtl w:val="0"/>
              </w:rPr>
            </w:r>
          </w:p>
          <w:p w:rsidR="00000000" w:rsidDel="00000000" w:rsidP="00000000" w:rsidRDefault="00000000" w:rsidRPr="00000000" w14:paraId="00000059">
            <w:pPr>
              <w:spacing w:after="0" w:line="240" w:lineRule="auto"/>
              <w:ind w:right="-20"/>
              <w:jc w:val="both"/>
              <w:rPr>
                <w:sz w:val="24"/>
                <w:szCs w:val="24"/>
              </w:rPr>
            </w:pPr>
            <w:r w:rsidDel="00000000" w:rsidR="00000000" w:rsidRPr="00000000">
              <w:rPr>
                <w:b w:val="1"/>
                <w:sz w:val="24"/>
                <w:szCs w:val="24"/>
                <w:rtl w:val="0"/>
              </w:rPr>
              <w:t xml:space="preserve">Emma Dwyer</w:t>
            </w:r>
            <w:r w:rsidDel="00000000" w:rsidR="00000000" w:rsidRPr="00000000">
              <w:rPr>
                <w:sz w:val="24"/>
                <w:szCs w:val="24"/>
                <w:rtl w:val="0"/>
              </w:rPr>
              <w:t xml:space="preserve"> Partner in Allen &amp; Overy’s derivatives and structured finance team in London and member of The Markets Innovation Group, advising on a broad range of issues relating to derivatives and structured finance transactions. Emma has worked closely with industry bodies including ISDA, FIA Europe and SiFMA AMG on numerous OTC derivatives regulatory initiatives. </w:t>
            </w:r>
          </w:p>
          <w:p w:rsidR="00000000" w:rsidDel="00000000" w:rsidP="00000000" w:rsidRDefault="00000000" w:rsidRPr="00000000" w14:paraId="0000005A">
            <w:pPr>
              <w:spacing w:after="0" w:line="240" w:lineRule="auto"/>
              <w:ind w:right="142"/>
              <w:jc w:val="both"/>
              <w:rPr>
                <w:color w:val="000000"/>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B">
            <w:pPr>
              <w:spacing w:after="0" w:line="240" w:lineRule="auto"/>
              <w:ind w:right="-20"/>
              <w:jc w:val="both"/>
              <w:rPr>
                <w:sz w:val="24"/>
                <w:szCs w:val="24"/>
              </w:rPr>
            </w:pPr>
            <w:r w:rsidDel="00000000" w:rsidR="00000000" w:rsidRPr="00000000">
              <w:rPr>
                <w:sz w:val="24"/>
                <w:szCs w:val="24"/>
                <w:rtl w:val="0"/>
              </w:rPr>
              <w:t xml:space="preserve">3:15  – 3:45</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5C">
            <w:pPr>
              <w:spacing w:after="0" w:line="240" w:lineRule="auto"/>
              <w:ind w:left="11" w:right="-20" w:firstLine="0"/>
              <w:jc w:val="both"/>
              <w:rPr>
                <w:b w:val="1"/>
                <w:sz w:val="24"/>
                <w:szCs w:val="24"/>
              </w:rPr>
            </w:pPr>
            <w:r w:rsidDel="00000000" w:rsidR="00000000" w:rsidRPr="00000000">
              <w:rPr>
                <w:b w:val="1"/>
                <w:sz w:val="24"/>
                <w:szCs w:val="24"/>
                <w:rtl w:val="0"/>
              </w:rPr>
              <w:t xml:space="preserve">Coffee break sponsored by 3 Verulam Buildings</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after="0" w:line="240" w:lineRule="auto"/>
              <w:ind w:right="-20"/>
              <w:jc w:val="both"/>
              <w:rPr>
                <w:sz w:val="24"/>
                <w:szCs w:val="24"/>
              </w:rPr>
            </w:pPr>
            <w:r w:rsidDel="00000000" w:rsidR="00000000" w:rsidRPr="00000000">
              <w:rPr>
                <w:sz w:val="24"/>
                <w:szCs w:val="24"/>
                <w:rtl w:val="0"/>
              </w:rPr>
              <w:t xml:space="preserve">3:45 – 4:45</w:t>
            </w:r>
          </w:p>
        </w:tc>
        <w:tc>
          <w:tcPr>
            <w:tcBorders>
              <w:top w:color="000000" w:space="0" w:sz="4" w:val="single"/>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5E">
            <w:pPr>
              <w:spacing w:after="0" w:line="240" w:lineRule="auto"/>
              <w:ind w:right="-20"/>
              <w:jc w:val="both"/>
              <w:rPr>
                <w:b w:val="1"/>
                <w:color w:val="fefefe"/>
                <w:sz w:val="24"/>
                <w:szCs w:val="24"/>
              </w:rPr>
            </w:pPr>
            <w:r w:rsidDel="00000000" w:rsidR="00000000" w:rsidRPr="00000000">
              <w:rPr>
                <w:b w:val="1"/>
                <w:color w:val="fefefe"/>
                <w:sz w:val="24"/>
                <w:szCs w:val="24"/>
                <w:rtl w:val="0"/>
              </w:rPr>
              <w:t xml:space="preserve">Financial technology: critical dispute issues in this emerging sector</w:t>
            </w:r>
            <w:r w:rsidDel="00000000" w:rsidR="00000000" w:rsidRPr="00000000">
              <w:rPr>
                <w:rtl w:val="0"/>
              </w:rPr>
            </w:r>
          </w:p>
        </w:tc>
      </w:tr>
      <w:tr>
        <w:trPr>
          <w:cantSplit w:val="0"/>
          <w:trHeight w:val="46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line="240" w:lineRule="auto"/>
              <w:ind w:right="-20"/>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shd w:fill="ffffff" w:val="clear"/>
              <w:spacing w:after="0" w:line="240" w:lineRule="auto"/>
              <w:ind w:left="0" w:firstLine="0"/>
              <w:jc w:val="both"/>
              <w:rPr>
                <w:b w:val="1"/>
                <w:sz w:val="24"/>
                <w:szCs w:val="24"/>
              </w:rPr>
            </w:pPr>
            <w:r w:rsidDel="00000000" w:rsidR="00000000" w:rsidRPr="00000000">
              <w:rPr>
                <w:color w:val="222222"/>
                <w:sz w:val="24"/>
                <w:szCs w:val="24"/>
                <w:rtl w:val="0"/>
              </w:rPr>
              <w:t xml:space="preserve">Developments in financial technology are occurring at an accelerating pace. Digital assets are already being used to replace or supplement traditional financial instruments, and developments such as digital currencies and the growth of decentralised finance will change the landscape further.  This panel will focus on issues raised by the use of these new technologies and will consider the types of dispute to which they could give rise.  It will also discuss some of the legal complexities around digital assets such as their classification, how they are provided for under master trading agreements, their delivery, their use as security, and the ability to recover and enforce against them. </w:t>
            </w:r>
            <w:r w:rsidDel="00000000" w:rsidR="00000000" w:rsidRPr="00000000">
              <w:rPr>
                <w:rtl w:val="0"/>
              </w:rPr>
            </w:r>
          </w:p>
          <w:p w:rsidR="00000000" w:rsidDel="00000000" w:rsidP="00000000" w:rsidRDefault="00000000" w:rsidRPr="00000000" w14:paraId="00000061">
            <w:pPr>
              <w:shd w:fill="ffffff" w:val="clear"/>
              <w:spacing w:after="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62">
            <w:pPr>
              <w:shd w:fill="ffffff" w:val="clear"/>
              <w:spacing w:after="0" w:line="240" w:lineRule="auto"/>
              <w:ind w:left="0" w:firstLine="0"/>
              <w:jc w:val="both"/>
              <w:rPr>
                <w:b w:val="1"/>
                <w:sz w:val="24"/>
                <w:szCs w:val="24"/>
              </w:rPr>
            </w:pPr>
            <w:r w:rsidDel="00000000" w:rsidR="00000000" w:rsidRPr="00000000">
              <w:rPr>
                <w:b w:val="1"/>
                <w:color w:val="000000"/>
                <w:sz w:val="24"/>
                <w:szCs w:val="24"/>
                <w:rtl w:val="0"/>
              </w:rPr>
              <w:t xml:space="preserve">Moderator:</w:t>
            </w:r>
            <w:r w:rsidDel="00000000" w:rsidR="00000000" w:rsidRPr="00000000">
              <w:rPr>
                <w:rtl w:val="0"/>
              </w:rPr>
            </w:r>
          </w:p>
          <w:p w:rsidR="00000000" w:rsidDel="00000000" w:rsidP="00000000" w:rsidRDefault="00000000" w:rsidRPr="00000000" w14:paraId="00000063">
            <w:pPr>
              <w:spacing w:after="0" w:line="240" w:lineRule="auto"/>
              <w:ind w:right="-23"/>
              <w:jc w:val="both"/>
              <w:rPr>
                <w:sz w:val="24"/>
                <w:szCs w:val="24"/>
              </w:rPr>
            </w:pPr>
            <w:r w:rsidDel="00000000" w:rsidR="00000000" w:rsidRPr="00000000">
              <w:rPr>
                <w:b w:val="1"/>
                <w:sz w:val="24"/>
                <w:szCs w:val="24"/>
                <w:rtl w:val="0"/>
              </w:rPr>
              <w:t xml:space="preserve">David Geen </w:t>
            </w:r>
            <w:r w:rsidDel="00000000" w:rsidR="00000000" w:rsidRPr="00000000">
              <w:rPr>
                <w:color w:val="000000"/>
                <w:sz w:val="24"/>
                <w:szCs w:val="24"/>
                <w:highlight w:val="white"/>
                <w:rtl w:val="0"/>
              </w:rPr>
              <w:t xml:space="preserve">Senior Technical Advisor in the Legal Directorate of the Bank of England. His role includes co-ordinating the Directorate’s coverage of FinTech issues and overseeing its support for benchmark transition. He was previously the Bank’s Deputy General Counsel for Central Banking and prior to that held various divisional management positions within the Legal Directorate. He is also former General Counsel, ISDA, former Head/Co-head of derivatives team, Legal Department, Goldman Sachs London and former Partner, Baker &amp; McKenzie, London</w:t>
            </w:r>
            <w:r w:rsidDel="00000000" w:rsidR="00000000" w:rsidRPr="00000000">
              <w:rPr>
                <w:color w:val="000000"/>
                <w:sz w:val="24"/>
                <w:szCs w:val="24"/>
                <w:rtl w:val="0"/>
              </w:rPr>
              <w:t xml:space="preserve">; P.R.I.M.E. Finance Expert. </w:t>
            </w:r>
            <w:r w:rsidDel="00000000" w:rsidR="00000000" w:rsidRPr="00000000">
              <w:rPr>
                <w:rtl w:val="0"/>
              </w:rPr>
            </w:r>
          </w:p>
          <w:p w:rsidR="00000000" w:rsidDel="00000000" w:rsidP="00000000" w:rsidRDefault="00000000" w:rsidRPr="00000000" w14:paraId="00000064">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65">
            <w:pPr>
              <w:spacing w:after="0" w:line="240" w:lineRule="auto"/>
              <w:ind w:right="-23"/>
              <w:jc w:val="both"/>
              <w:rPr>
                <w:b w:val="1"/>
                <w:sz w:val="24"/>
                <w:szCs w:val="24"/>
              </w:rPr>
            </w:pPr>
            <w:r w:rsidDel="00000000" w:rsidR="00000000" w:rsidRPr="00000000">
              <w:rPr>
                <w:b w:val="1"/>
                <w:color w:val="000000"/>
                <w:sz w:val="24"/>
                <w:szCs w:val="24"/>
                <w:rtl w:val="0"/>
              </w:rPr>
              <w:t xml:space="preserve">Speakers:</w:t>
            </w:r>
            <w:r w:rsidDel="00000000" w:rsidR="00000000" w:rsidRPr="00000000">
              <w:rPr>
                <w:rtl w:val="0"/>
              </w:rPr>
            </w:r>
          </w:p>
          <w:p w:rsidR="00000000" w:rsidDel="00000000" w:rsidP="00000000" w:rsidRDefault="00000000" w:rsidRPr="00000000" w14:paraId="00000066">
            <w:pPr>
              <w:spacing w:after="0" w:line="246.99999999999994" w:lineRule="auto"/>
              <w:ind w:right="143"/>
              <w:jc w:val="both"/>
              <w:rPr>
                <w:sz w:val="24"/>
                <w:szCs w:val="24"/>
              </w:rPr>
            </w:pPr>
            <w:r w:rsidDel="00000000" w:rsidR="00000000" w:rsidRPr="00000000">
              <w:rPr>
                <w:b w:val="1"/>
                <w:color w:val="000000"/>
                <w:sz w:val="24"/>
                <w:szCs w:val="24"/>
                <w:rtl w:val="0"/>
              </w:rPr>
              <w:t xml:space="preserve">Akber Datoo </w:t>
            </w:r>
            <w:r w:rsidDel="00000000" w:rsidR="00000000" w:rsidRPr="00000000">
              <w:rPr>
                <w:sz w:val="24"/>
                <w:szCs w:val="24"/>
                <w:highlight w:val="white"/>
                <w:rtl w:val="0"/>
              </w:rPr>
              <w:t xml:space="preserve">Founder and CEO, D2 Legal Technology (D2LT); technologist (ex-UBS Front Office Fixed Income Derivatives IT) and derivatives lawyer (ex-Allen &amp; Overy); chair of the Law Society of England &amp; Wales Digital Assets and Smart Contracts Subcommittee, Associate Professor Law &amp; Technology at the University of Surrey and P.R.I.M.E. Finance Expert. </w:t>
            </w:r>
            <w:r w:rsidDel="00000000" w:rsidR="00000000" w:rsidRPr="00000000">
              <w:rPr>
                <w:rtl w:val="0"/>
              </w:rPr>
            </w:r>
          </w:p>
          <w:p w:rsidR="00000000" w:rsidDel="00000000" w:rsidP="00000000" w:rsidRDefault="00000000" w:rsidRPr="00000000" w14:paraId="00000067">
            <w:pPr>
              <w:spacing w:after="0" w:line="246.99999999999994" w:lineRule="auto"/>
              <w:ind w:right="143"/>
              <w:jc w:val="both"/>
              <w:rPr>
                <w:sz w:val="24"/>
                <w:szCs w:val="24"/>
              </w:rPr>
            </w:pPr>
            <w:r w:rsidDel="00000000" w:rsidR="00000000" w:rsidRPr="00000000">
              <w:rPr>
                <w:rtl w:val="0"/>
              </w:rPr>
            </w:r>
          </w:p>
          <w:p w:rsidR="00000000" w:rsidDel="00000000" w:rsidP="00000000" w:rsidRDefault="00000000" w:rsidRPr="00000000" w14:paraId="00000068">
            <w:pPr>
              <w:spacing w:after="0" w:line="246.99999999999994" w:lineRule="auto"/>
              <w:ind w:right="143"/>
              <w:jc w:val="both"/>
              <w:rPr>
                <w:sz w:val="24"/>
                <w:szCs w:val="24"/>
              </w:rPr>
            </w:pPr>
            <w:r w:rsidDel="00000000" w:rsidR="00000000" w:rsidRPr="00000000">
              <w:rPr>
                <w:b w:val="1"/>
                <w:color w:val="000000"/>
                <w:sz w:val="24"/>
                <w:szCs w:val="24"/>
                <w:rtl w:val="0"/>
              </w:rPr>
              <w:t xml:space="preserve">Simon Gleeson</w:t>
            </w:r>
            <w:r w:rsidDel="00000000" w:rsidR="00000000" w:rsidRPr="00000000">
              <w:rPr>
                <w:color w:val="000000"/>
                <w:sz w:val="24"/>
                <w:szCs w:val="24"/>
                <w:rtl w:val="0"/>
              </w:rPr>
              <w:t xml:space="preserve"> </w:t>
            </w:r>
            <w:r w:rsidDel="00000000" w:rsidR="00000000" w:rsidRPr="00000000">
              <w:rPr>
                <w:sz w:val="24"/>
                <w:szCs w:val="24"/>
                <w:rtl w:val="0"/>
              </w:rPr>
              <w:t xml:space="preserve">Partner, Clifford Chance, specialising in banking and financial markets law and regulation, clearing, settlement and derivatives. He chairs the Institute for International Finance's cross-border resolution committee and advised the World Economic Forum on its 2009 Report on The New Global Financial Architecture. He was also involved in the establishment of the UK's Banking Standards Board. Visiting Professor at Queen Mary University and a member of the bank resolution project of the Hoover Institution at Stanford University. He has been appointed as a Deputy High Court Judge. He is also a P.R.I.M.E. Finance Expert. </w:t>
            </w:r>
          </w:p>
          <w:p w:rsidR="00000000" w:rsidDel="00000000" w:rsidP="00000000" w:rsidRDefault="00000000" w:rsidRPr="00000000" w14:paraId="00000069">
            <w:pPr>
              <w:spacing w:after="0" w:line="246.99999999999994" w:lineRule="auto"/>
              <w:ind w:right="143"/>
              <w:jc w:val="both"/>
              <w:rPr>
                <w:sz w:val="24"/>
                <w:szCs w:val="24"/>
              </w:rPr>
            </w:pPr>
            <w:r w:rsidDel="00000000" w:rsidR="00000000" w:rsidRPr="00000000">
              <w:rPr>
                <w:rtl w:val="0"/>
              </w:rPr>
            </w:r>
          </w:p>
          <w:p w:rsidR="00000000" w:rsidDel="00000000" w:rsidP="00000000" w:rsidRDefault="00000000" w:rsidRPr="00000000" w14:paraId="0000006A">
            <w:pPr>
              <w:spacing w:after="0" w:line="246.99999999999994" w:lineRule="auto"/>
              <w:ind w:right="143"/>
              <w:jc w:val="both"/>
              <w:rPr>
                <w:color w:val="0a0a0a"/>
                <w:sz w:val="24"/>
                <w:szCs w:val="24"/>
              </w:rPr>
            </w:pPr>
            <w:r w:rsidDel="00000000" w:rsidR="00000000" w:rsidRPr="00000000">
              <w:rPr>
                <w:b w:val="1"/>
                <w:color w:val="000000"/>
                <w:sz w:val="24"/>
                <w:szCs w:val="24"/>
                <w:rtl w:val="0"/>
              </w:rPr>
              <w:t xml:space="preserve">Harriet Territt</w:t>
            </w:r>
            <w:r w:rsidDel="00000000" w:rsidR="00000000" w:rsidRPr="00000000">
              <w:rPr>
                <w:color w:val="0a0a0a"/>
                <w:sz w:val="24"/>
                <w:szCs w:val="24"/>
                <w:shd w:fill="fefefe" w:val="clear"/>
                <w:rtl w:val="0"/>
              </w:rPr>
              <w:t xml:space="preserve"> </w:t>
            </w:r>
            <w:r w:rsidDel="00000000" w:rsidR="00000000" w:rsidRPr="00000000">
              <w:rPr>
                <w:b w:val="1"/>
                <w:sz w:val="24"/>
                <w:szCs w:val="24"/>
                <w:rtl w:val="0"/>
              </w:rPr>
              <w:t xml:space="preserve"> </w:t>
            </w:r>
            <w:r w:rsidDel="00000000" w:rsidR="00000000" w:rsidRPr="00000000">
              <w:rPr>
                <w:color w:val="0a0a0a"/>
                <w:sz w:val="24"/>
                <w:szCs w:val="24"/>
                <w:rtl w:val="0"/>
              </w:rPr>
              <w:t xml:space="preserve">Partner, Jones Day. Harriet has over 20 years of experience in resolving significant financial disputes and regulatory issues with a particular focus on the cutting edge of financial technology. Increasingly, Harriet advises on liability, risk, and governance issues arising out of the fintech revolution including blockchain, digital assets, AI in financial services, payments, alternative finance arrangements, and consumer facing products. P.R.I.M.E. Finance Expert. </w:t>
            </w:r>
            <w:r w:rsidDel="00000000" w:rsidR="00000000" w:rsidRPr="00000000">
              <w:rPr>
                <w:rtl w:val="0"/>
              </w:rPr>
            </w:r>
          </w:p>
        </w:tc>
      </w:tr>
    </w:tbl>
    <w:p w:rsidR="00000000" w:rsidDel="00000000" w:rsidP="00000000" w:rsidRDefault="00000000" w:rsidRPr="00000000" w14:paraId="0000006B">
      <w:pPr>
        <w:spacing w:after="0" w:lineRule="auto"/>
        <w:jc w:val="both"/>
        <w:rPr>
          <w:b w:val="1"/>
          <w:color w:val="000080"/>
          <w:sz w:val="24"/>
          <w:szCs w:val="24"/>
        </w:rPr>
      </w:pPr>
      <w:r w:rsidDel="00000000" w:rsidR="00000000" w:rsidRPr="00000000">
        <w:rPr>
          <w:rtl w:val="0"/>
        </w:rPr>
      </w:r>
    </w:p>
    <w:tbl>
      <w:tblPr>
        <w:tblStyle w:val="Table2"/>
        <w:tblW w:w="10800.0" w:type="dxa"/>
        <w:jc w:val="center"/>
        <w:tblLayout w:type="fixed"/>
        <w:tblLook w:val="0400"/>
      </w:tblPr>
      <w:tblGrid>
        <w:gridCol w:w="1515"/>
        <w:gridCol w:w="9285"/>
        <w:tblGridChange w:id="0">
          <w:tblGrid>
            <w:gridCol w:w="1515"/>
            <w:gridCol w:w="9285"/>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240" w:lineRule="auto"/>
              <w:ind w:right="-20"/>
              <w:jc w:val="both"/>
              <w:rPr>
                <w:sz w:val="24"/>
                <w:szCs w:val="24"/>
              </w:rPr>
            </w:pPr>
            <w:r w:rsidDel="00000000" w:rsidR="00000000" w:rsidRPr="00000000">
              <w:rPr>
                <w:sz w:val="24"/>
                <w:szCs w:val="24"/>
                <w:rtl w:val="0"/>
              </w:rPr>
              <w:t xml:space="preserve">4:45 – 5:00</w:t>
            </w:r>
          </w:p>
        </w:tc>
        <w:tc>
          <w:tcPr>
            <w:tcBorders>
              <w:top w:color="000000" w:space="0" w:sz="4" w:val="single"/>
              <w:left w:color="000000" w:space="0" w:sz="4" w:val="single"/>
              <w:bottom w:color="000000" w:space="0" w:sz="4" w:val="single"/>
              <w:right w:color="000000" w:space="0" w:sz="4" w:val="single"/>
            </w:tcBorders>
            <w:shd w:fill="1f497d" w:val="clear"/>
            <w:vAlign w:val="center"/>
          </w:tcPr>
          <w:p w:rsidR="00000000" w:rsidDel="00000000" w:rsidP="00000000" w:rsidRDefault="00000000" w:rsidRPr="00000000" w14:paraId="0000006D">
            <w:pPr>
              <w:spacing w:after="0" w:line="240" w:lineRule="auto"/>
              <w:ind w:right="-20"/>
              <w:jc w:val="both"/>
              <w:rPr>
                <w:b w:val="1"/>
                <w:sz w:val="24"/>
                <w:szCs w:val="24"/>
              </w:rPr>
            </w:pPr>
            <w:r w:rsidDel="00000000" w:rsidR="00000000" w:rsidRPr="00000000">
              <w:rPr>
                <w:b w:val="1"/>
                <w:color w:val="ffffff"/>
                <w:sz w:val="24"/>
                <w:szCs w:val="24"/>
                <w:rtl w:val="0"/>
              </w:rPr>
              <w:t xml:space="preserve">Closing Remarks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240" w:lineRule="auto"/>
              <w:ind w:right="-20"/>
              <w:jc w:val="both"/>
              <w:rPr>
                <w:sz w:val="24"/>
                <w:szCs w:val="24"/>
              </w:rPr>
            </w:pPr>
            <w:r w:rsidDel="00000000" w:rsidR="00000000" w:rsidRPr="00000000">
              <w:rPr>
                <w:sz w:val="24"/>
                <w:szCs w:val="24"/>
                <w:rtl w:val="0"/>
              </w:rPr>
              <w:t xml:space="preserve">5:00 – 7:00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spacing w:after="0" w:line="240" w:lineRule="auto"/>
              <w:ind w:left="11" w:right="-20" w:firstLine="0"/>
              <w:jc w:val="both"/>
              <w:rPr>
                <w:b w:val="1"/>
                <w:sz w:val="24"/>
                <w:szCs w:val="24"/>
              </w:rPr>
            </w:pPr>
            <w:r w:rsidDel="00000000" w:rsidR="00000000" w:rsidRPr="00000000">
              <w:rPr>
                <w:b w:val="1"/>
                <w:sz w:val="24"/>
                <w:szCs w:val="24"/>
                <w:rtl w:val="0"/>
              </w:rPr>
              <w:t xml:space="preserve">Cocktail reception sponsored by 3 Hare Court</w:t>
            </w:r>
          </w:p>
        </w:tc>
      </w:tr>
    </w:tbl>
    <w:p w:rsidR="00000000" w:rsidDel="00000000" w:rsidP="00000000" w:rsidRDefault="00000000" w:rsidRPr="00000000" w14:paraId="00000070">
      <w:pPr>
        <w:jc w:val="left"/>
        <w:rPr>
          <w:sz w:val="24"/>
          <w:szCs w:val="24"/>
        </w:rPr>
      </w:pPr>
      <w:r w:rsidDel="00000000" w:rsidR="00000000" w:rsidRPr="00000000">
        <w:rPr>
          <w:rtl w:val="0"/>
        </w:rPr>
      </w:r>
    </w:p>
    <w:sectPr>
      <w:headerReference r:id="rId7" w:type="first"/>
      <w:headerReference r:id="rId8" w:type="even"/>
      <w:footerReference r:id="rId9" w:type="default"/>
      <w:footerReference r:id="rId10" w:type="first"/>
      <w:footerReference r:id="rId11" w:type="even"/>
      <w:pgSz w:h="16838" w:w="11906" w:orient="portrait"/>
      <w:pgMar w:bottom="1135" w:top="1134"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Times" w:cs="Times" w:eastAsia="Times" w:hAnsi="Times"/>
        <w:sz w:val="16"/>
        <w:szCs w:val="16"/>
      </w:rPr>
    </w:pPr>
    <w:r w:rsidDel="00000000" w:rsidR="00000000" w:rsidRPr="00000000">
      <w:rPr>
        <w:rFonts w:ascii="Times" w:cs="Times" w:eastAsia="Times" w:hAnsi="Times"/>
        <w:sz w:val="16"/>
        <w:szCs w:val="16"/>
        <w:rtl w:val="0"/>
      </w:rPr>
      <w:t xml:space="preserve">53088983 M 24953338 / 5</w:t>
    </w:r>
  </w:p>
  <w:p w:rsidR="00000000" w:rsidDel="00000000" w:rsidP="00000000" w:rsidRDefault="00000000" w:rsidRPr="00000000" w14:paraId="0000007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ffffff"/>
        <w:sz w:val="16"/>
        <w:szCs w:val="16"/>
        <w:u w:val="none"/>
        <w:shd w:fill="auto" w:val="clear"/>
        <w:vertAlign w:val="baseline"/>
      </w:rPr>
    </w:pPr>
    <w:r w:rsidDel="00000000" w:rsidR="00000000" w:rsidRPr="00000000">
      <w:rPr>
        <w:rFonts w:ascii="Times" w:cs="Times" w:eastAsia="Times" w:hAnsi="Times"/>
        <w:b w:val="0"/>
        <w:i w:val="0"/>
        <w:smallCaps w:val="0"/>
        <w:strike w:val="0"/>
        <w:color w:val="ffffff"/>
        <w:sz w:val="16"/>
        <w:szCs w:val="16"/>
        <w:u w:val="none"/>
        <w:shd w:fill="auto" w:val="clear"/>
        <w:vertAlign w:val="baseline"/>
        <w:rtl w:val="0"/>
      </w:rPr>
      <w:t xml:space="preserve">53088983 M 24953338 / 5</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ffffff"/>
        <w:sz w:val="16"/>
        <w:szCs w:val="16"/>
        <w:u w:val="none"/>
        <w:shd w:fill="auto" w:val="clear"/>
        <w:vertAlign w:val="baseline"/>
      </w:rPr>
    </w:pPr>
    <w:r w:rsidDel="00000000" w:rsidR="00000000" w:rsidRPr="00000000">
      <w:rPr>
        <w:rFonts w:ascii="Times" w:cs="Times" w:eastAsia="Times" w:hAnsi="Times"/>
        <w:b w:val="0"/>
        <w:i w:val="0"/>
        <w:smallCaps w:val="0"/>
        <w:strike w:val="0"/>
        <w:color w:val="ffffff"/>
        <w:sz w:val="16"/>
        <w:szCs w:val="16"/>
        <w:u w:val="none"/>
        <w:shd w:fill="auto" w:val="clear"/>
        <w:vertAlign w:val="baseline"/>
        <w:rtl w:val="0"/>
      </w:rPr>
      <w:t xml:space="preserve">a53088983 M 24953338 / 5</w:t>
    </w:r>
  </w:p>
  <w:p w:rsidR="00000000" w:rsidDel="00000000" w:rsidP="00000000" w:rsidRDefault="00000000" w:rsidRPr="00000000" w14:paraId="0000007F">
    <w:pPr>
      <w:tabs>
        <w:tab w:val="left" w:pos="2270"/>
      </w:tabs>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i w:val="1"/>
      </w:rPr>
    </w:pPr>
    <w:r w:rsidDel="00000000" w:rsidR="00000000" w:rsidRPr="00000000">
      <w:rPr>
        <w:i w:val="1"/>
        <w:rtl w:val="0"/>
      </w:rPr>
      <w:t xml:space="preserve">Agenda subject to change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0" w:before="200" w:lineRule="auto"/>
    </w:pPr>
    <w:rPr>
      <w:rFonts w:ascii="Times New Roman" w:cs="Times New Roman" w:eastAsia="Times New Roman" w:hAnsi="Times New Roman"/>
      <w:b w:val="1"/>
      <w:color w:val="4f81bd"/>
      <w:sz w:val="24"/>
      <w:szCs w:val="24"/>
    </w:rPr>
  </w:style>
  <w:style w:type="paragraph" w:styleId="Heading3">
    <w:name w:val="heading 3"/>
    <w:basedOn w:val="Normal"/>
    <w:next w:val="Normal"/>
    <w:pPr>
      <w:keepNext w:val="1"/>
      <w:keepLines w:val="1"/>
      <w:spacing w:after="0" w:before="120" w:lineRule="auto"/>
    </w:pPr>
    <w:rPr>
      <w:rFonts w:ascii="Times New Roman" w:cs="Times New Roman" w:eastAsia="Times New Roman" w:hAnsi="Times New Roman"/>
      <w:b w:val="1"/>
      <w:color w:val="1f497d"/>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Times New Roman" w:cs="Times New Roman" w:eastAsia="Times New Roman" w:hAnsi="Times New Roman"/>
      <w:color w:val="17365d"/>
      <w:sz w:val="36"/>
      <w:szCs w:val="36"/>
    </w:rPr>
  </w:style>
  <w:style w:type="paragraph" w:styleId="Normal" w:default="1">
    <w:name w:val="Normal"/>
    <w:qFormat w:val="1"/>
    <w:rsid w:val="001773C8"/>
    <w:rPr>
      <w:rFonts w:asciiTheme="minorHAnsi" w:hAnsiTheme="minorHAnsi"/>
    </w:rPr>
  </w:style>
  <w:style w:type="paragraph" w:styleId="Heading1">
    <w:name w:val="heading 1"/>
    <w:basedOn w:val="Normal"/>
    <w:next w:val="Normal"/>
    <w:link w:val="Heading1Char"/>
    <w:uiPriority w:val="9"/>
    <w:qFormat w:val="1"/>
    <w:rsid w:val="00455A1A"/>
    <w:pPr>
      <w:keepNext w:val="1"/>
      <w:keepLines w:val="1"/>
      <w:spacing w:after="0" w:before="36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9"/>
    <w:qFormat w:val="1"/>
    <w:rsid w:val="00455A1A"/>
    <w:pPr>
      <w:keepNext w:val="1"/>
      <w:keepLines w:val="1"/>
      <w:spacing w:after="0" w:before="200"/>
      <w:outlineLvl w:val="1"/>
    </w:pPr>
    <w:rPr>
      <w:rFonts w:asciiTheme="majorHAnsi" w:cstheme="majorBidi" w:eastAsiaTheme="majorEastAsia" w:hAnsiTheme="majorHAnsi"/>
      <w:b w:val="1"/>
      <w:bCs w:val="1"/>
      <w:color w:val="4f81bd" w:themeColor="accent1"/>
      <w:sz w:val="24"/>
      <w:szCs w:val="26"/>
    </w:rPr>
  </w:style>
  <w:style w:type="paragraph" w:styleId="Heading3">
    <w:name w:val="heading 3"/>
    <w:basedOn w:val="Normal"/>
    <w:next w:val="Normal"/>
    <w:link w:val="Heading3Char"/>
    <w:uiPriority w:val="9"/>
    <w:qFormat w:val="1"/>
    <w:rsid w:val="00455A1A"/>
    <w:pPr>
      <w:keepNext w:val="1"/>
      <w:keepLines w:val="1"/>
      <w:spacing w:after="0" w:before="120"/>
      <w:outlineLvl w:val="2"/>
    </w:pPr>
    <w:rPr>
      <w:rFonts w:asciiTheme="majorHAnsi" w:cstheme="majorBidi" w:eastAsiaTheme="majorEastAsia" w:hAnsiTheme="majorHAnsi"/>
      <w:b w:val="1"/>
      <w:bCs w:val="1"/>
      <w:color w:val="1f497d" w:themeColor="text2"/>
    </w:rPr>
  </w:style>
  <w:style w:type="paragraph" w:styleId="Heading4">
    <w:name w:val="heading 4"/>
    <w:basedOn w:val="Normal"/>
    <w:link w:val="Heading4Char"/>
    <w:uiPriority w:val="9"/>
    <w:qFormat w:val="1"/>
    <w:rsid w:val="00DB4A3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nl-NL" w:val="nl-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A064A"/>
    <w:rPr>
      <w:rFonts w:asciiTheme="majorHAnsi" w:cstheme="majorBidi" w:eastAsiaTheme="majorEastAsia" w:hAnsiTheme="majorHAnsi"/>
      <w:b w:val="1"/>
      <w:bCs w:val="1"/>
      <w:color w:val="365f91" w:themeColor="accent1" w:themeShade="0000BF"/>
      <w:sz w:val="28"/>
      <w:szCs w:val="28"/>
      <w:lang w:val="en-GB"/>
    </w:rPr>
  </w:style>
  <w:style w:type="character" w:styleId="Heading2Char" w:customStyle="1">
    <w:name w:val="Heading 2 Char"/>
    <w:basedOn w:val="DefaultParagraphFont"/>
    <w:link w:val="Heading2"/>
    <w:uiPriority w:val="99"/>
    <w:rsid w:val="000A064A"/>
    <w:rPr>
      <w:rFonts w:asciiTheme="majorHAnsi" w:cstheme="majorBidi" w:eastAsiaTheme="majorEastAsia" w:hAnsiTheme="majorHAnsi"/>
      <w:b w:val="1"/>
      <w:bCs w:val="1"/>
      <w:color w:val="4f81bd" w:themeColor="accent1"/>
      <w:sz w:val="24"/>
      <w:szCs w:val="26"/>
      <w:lang w:val="en-GB"/>
    </w:rPr>
  </w:style>
  <w:style w:type="character" w:styleId="Heading3Char" w:customStyle="1">
    <w:name w:val="Heading 3 Char"/>
    <w:basedOn w:val="DefaultParagraphFont"/>
    <w:link w:val="Heading3"/>
    <w:uiPriority w:val="9"/>
    <w:rsid w:val="000A064A"/>
    <w:rPr>
      <w:rFonts w:asciiTheme="majorHAnsi" w:cstheme="majorBidi" w:eastAsiaTheme="majorEastAsia" w:hAnsiTheme="majorHAnsi"/>
      <w:b w:val="1"/>
      <w:bCs w:val="1"/>
      <w:color w:val="1f497d" w:themeColor="text2"/>
      <w:lang w:val="en-GB"/>
    </w:rPr>
  </w:style>
  <w:style w:type="paragraph" w:styleId="Title">
    <w:name w:val="Title"/>
    <w:basedOn w:val="Normal"/>
    <w:next w:val="Normal"/>
    <w:link w:val="TitleChar"/>
    <w:uiPriority w:val="99"/>
    <w:qFormat w:val="1"/>
    <w:rsid w:val="00455A1A"/>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36"/>
      <w:szCs w:val="52"/>
    </w:rPr>
  </w:style>
  <w:style w:type="character" w:styleId="TitleChar" w:customStyle="1">
    <w:name w:val="Title Char"/>
    <w:basedOn w:val="DefaultParagraphFont"/>
    <w:link w:val="Title"/>
    <w:uiPriority w:val="99"/>
    <w:rsid w:val="000A064A"/>
    <w:rPr>
      <w:rFonts w:asciiTheme="majorHAnsi" w:cstheme="majorBidi" w:eastAsiaTheme="majorEastAsia" w:hAnsiTheme="majorHAnsi"/>
      <w:color w:val="17365d" w:themeColor="text2" w:themeShade="0000BF"/>
      <w:spacing w:val="5"/>
      <w:kern w:val="28"/>
      <w:sz w:val="36"/>
      <w:szCs w:val="52"/>
      <w:lang w:val="en-GB"/>
    </w:rPr>
  </w:style>
  <w:style w:type="paragraph" w:styleId="NDHeading1" w:customStyle="1">
    <w:name w:val="ND Heading 1"/>
    <w:basedOn w:val="BodyText"/>
    <w:next w:val="BodyText"/>
    <w:uiPriority w:val="99"/>
    <w:qFormat w:val="1"/>
    <w:rsid w:val="00BF2673"/>
    <w:pPr>
      <w:numPr>
        <w:numId w:val="11"/>
      </w:numPr>
      <w:outlineLvl w:val="0"/>
    </w:pPr>
    <w:rPr>
      <w:rFonts w:eastAsia="Calibri"/>
      <w:b w:val="1"/>
      <w:caps w:val="1"/>
    </w:rPr>
  </w:style>
  <w:style w:type="paragraph" w:styleId="BodyText">
    <w:name w:val="Body Text"/>
    <w:aliases w:val="ND Body"/>
    <w:link w:val="BodyTextChar"/>
    <w:qFormat w:val="1"/>
    <w:rsid w:val="003C182A"/>
    <w:pPr>
      <w:widowControl w:val="0"/>
      <w:spacing w:after="0" w:line="300" w:lineRule="atLeast"/>
    </w:pPr>
    <w:rPr>
      <w:rFonts w:asciiTheme="minorHAnsi" w:hAnsiTheme="minorHAnsi"/>
    </w:rPr>
  </w:style>
  <w:style w:type="character" w:styleId="BodyTextChar" w:customStyle="1">
    <w:name w:val="Body Text Char"/>
    <w:aliases w:val="ND Body Char"/>
    <w:basedOn w:val="DefaultParagraphFont"/>
    <w:link w:val="BodyText"/>
    <w:rsid w:val="003C182A"/>
    <w:rPr>
      <w:rFonts w:asciiTheme="minorHAnsi" w:hAnsiTheme="minorHAnsi"/>
      <w:lang w:val="en-GB"/>
    </w:rPr>
  </w:style>
  <w:style w:type="paragraph" w:styleId="NDVariantB1" w:customStyle="1">
    <w:name w:val="ND Variant B 1"/>
    <w:basedOn w:val="BodyText"/>
    <w:next w:val="NDBodyIndent"/>
    <w:uiPriority w:val="99"/>
    <w:qFormat w:val="1"/>
    <w:rsid w:val="0006510A"/>
    <w:pPr>
      <w:keepNext w:val="1"/>
      <w:numPr>
        <w:numId w:val="6"/>
      </w:numPr>
      <w:outlineLvl w:val="0"/>
    </w:pPr>
    <w:rPr>
      <w:rFonts w:ascii="Times New Roman Bold" w:eastAsia="Times New Roman Bold" w:hAnsi="Times New Roman Bold"/>
      <w:b w:val="1"/>
      <w:caps w:val="1"/>
    </w:rPr>
  </w:style>
  <w:style w:type="paragraph" w:styleId="NDScheduleTitle" w:customStyle="1">
    <w:name w:val="ND Schedule Title"/>
    <w:basedOn w:val="BodyText"/>
    <w:next w:val="NDBodyIndent"/>
    <w:uiPriority w:val="99"/>
    <w:qFormat w:val="1"/>
    <w:rsid w:val="00880466"/>
    <w:pPr>
      <w:keepNext w:val="1"/>
      <w:numPr>
        <w:numId w:val="2"/>
      </w:numPr>
      <w:jc w:val="center"/>
      <w:outlineLvl w:val="0"/>
    </w:pPr>
    <w:rPr>
      <w:rFonts w:asciiTheme="majorHAnsi" w:hAnsiTheme="majorHAnsi"/>
      <w:b w:val="1"/>
      <w:caps w:val="1"/>
    </w:rPr>
  </w:style>
  <w:style w:type="paragraph" w:styleId="NDNumber1" w:customStyle="1">
    <w:name w:val="ND Number 1"/>
    <w:basedOn w:val="NDHeading1"/>
    <w:uiPriority w:val="99"/>
    <w:qFormat w:val="1"/>
    <w:rsid w:val="00236A64"/>
    <w:rPr>
      <w:b w:val="0"/>
      <w:caps w:val="0"/>
    </w:rPr>
  </w:style>
  <w:style w:type="paragraph" w:styleId="NDNumber2" w:customStyle="1">
    <w:name w:val="ND Number 2"/>
    <w:basedOn w:val="BodyText"/>
    <w:uiPriority w:val="99"/>
    <w:qFormat w:val="1"/>
    <w:rsid w:val="00BF2673"/>
    <w:pPr>
      <w:numPr>
        <w:ilvl w:val="1"/>
        <w:numId w:val="11"/>
      </w:numPr>
    </w:pPr>
    <w:rPr>
      <w:rFonts w:eastAsia="Calibri"/>
    </w:rPr>
  </w:style>
  <w:style w:type="paragraph" w:styleId="NDHeading2" w:customStyle="1">
    <w:name w:val="ND Heading 2"/>
    <w:basedOn w:val="NDNumber2"/>
    <w:next w:val="BodyText"/>
    <w:uiPriority w:val="99"/>
    <w:qFormat w:val="1"/>
    <w:rsid w:val="00FD13CA"/>
    <w:pPr>
      <w:outlineLvl w:val="1"/>
    </w:pPr>
    <w:rPr>
      <w:b w:val="1"/>
    </w:rPr>
  </w:style>
  <w:style w:type="paragraph" w:styleId="NDNumber3" w:customStyle="1">
    <w:name w:val="ND Number 3"/>
    <w:basedOn w:val="BodyText"/>
    <w:uiPriority w:val="99"/>
    <w:qFormat w:val="1"/>
    <w:rsid w:val="00BF2673"/>
    <w:pPr>
      <w:numPr>
        <w:ilvl w:val="2"/>
        <w:numId w:val="11"/>
      </w:numPr>
    </w:pPr>
    <w:rPr>
      <w:rFonts w:eastAsia="Calibri"/>
    </w:rPr>
  </w:style>
  <w:style w:type="paragraph" w:styleId="NDHeading3" w:customStyle="1">
    <w:name w:val="ND Heading 3"/>
    <w:basedOn w:val="NDNumber3"/>
    <w:next w:val="BodyText"/>
    <w:uiPriority w:val="99"/>
    <w:qFormat w:val="1"/>
    <w:rsid w:val="00FD13CA"/>
    <w:pPr>
      <w:outlineLvl w:val="2"/>
    </w:pPr>
    <w:rPr>
      <w:b w:val="1"/>
    </w:rPr>
  </w:style>
  <w:style w:type="paragraph" w:styleId="Level7Number" w:customStyle="1">
    <w:name w:val="Level 7 Number"/>
    <w:basedOn w:val="BodyText"/>
    <w:uiPriority w:val="99"/>
    <w:semiHidden w:val="1"/>
    <w:rsid w:val="00372FF0"/>
    <w:rPr>
      <w:rFonts w:cs="Times New Roman" w:eastAsia="SimSun"/>
      <w:szCs w:val="24"/>
      <w:lang w:eastAsia="zh-CN"/>
    </w:rPr>
  </w:style>
  <w:style w:type="paragraph" w:styleId="Level8Number" w:customStyle="1">
    <w:name w:val="Level 8 Number"/>
    <w:basedOn w:val="BodyText"/>
    <w:uiPriority w:val="99"/>
    <w:semiHidden w:val="1"/>
    <w:rsid w:val="00372FF0"/>
    <w:rPr>
      <w:rFonts w:cs="Times New Roman" w:eastAsia="SimSun"/>
      <w:szCs w:val="24"/>
      <w:lang w:eastAsia="zh-CN"/>
    </w:rPr>
  </w:style>
  <w:style w:type="paragraph" w:styleId="Level9Number" w:customStyle="1">
    <w:name w:val="Level 9 Number"/>
    <w:basedOn w:val="BodyText"/>
    <w:uiPriority w:val="99"/>
    <w:semiHidden w:val="1"/>
    <w:rsid w:val="00372FF0"/>
    <w:rPr>
      <w:rFonts w:cs="Times New Roman" w:eastAsia="SimSun"/>
      <w:szCs w:val="24"/>
      <w:lang w:eastAsia="zh-CN"/>
    </w:rPr>
  </w:style>
  <w:style w:type="paragraph" w:styleId="NDNumber4" w:customStyle="1">
    <w:name w:val="ND Number 4"/>
    <w:basedOn w:val="BodyText"/>
    <w:uiPriority w:val="99"/>
    <w:qFormat w:val="1"/>
    <w:rsid w:val="00BF2673"/>
    <w:pPr>
      <w:numPr>
        <w:ilvl w:val="3"/>
        <w:numId w:val="11"/>
      </w:numPr>
    </w:pPr>
    <w:rPr>
      <w:rFonts w:eastAsia="Calibri"/>
    </w:rPr>
  </w:style>
  <w:style w:type="paragraph" w:styleId="NDHeading4" w:customStyle="1">
    <w:name w:val="ND Heading 4"/>
    <w:basedOn w:val="NDNumber4"/>
    <w:next w:val="BodyText"/>
    <w:uiPriority w:val="99"/>
    <w:qFormat w:val="1"/>
    <w:rsid w:val="00FD13CA"/>
    <w:pPr>
      <w:tabs>
        <w:tab w:val="clear" w:pos="1418"/>
        <w:tab w:val="left" w:pos="709"/>
      </w:tabs>
      <w:ind w:left="709"/>
      <w:outlineLvl w:val="3"/>
    </w:pPr>
    <w:rPr>
      <w:b w:val="1"/>
    </w:rPr>
  </w:style>
  <w:style w:type="paragraph" w:styleId="NDNumber5" w:customStyle="1">
    <w:name w:val="ND Number 5"/>
    <w:basedOn w:val="BodyText"/>
    <w:uiPriority w:val="99"/>
    <w:qFormat w:val="1"/>
    <w:rsid w:val="00BF2673"/>
    <w:pPr>
      <w:numPr>
        <w:ilvl w:val="4"/>
        <w:numId w:val="11"/>
      </w:numPr>
    </w:pPr>
    <w:rPr>
      <w:rFonts w:eastAsia="Calibri"/>
    </w:rPr>
  </w:style>
  <w:style w:type="paragraph" w:styleId="NDVariantA1" w:customStyle="1">
    <w:name w:val="ND Variant A 1"/>
    <w:basedOn w:val="BodyText"/>
    <w:uiPriority w:val="99"/>
    <w:qFormat w:val="1"/>
    <w:rsid w:val="00823E2E"/>
    <w:pPr>
      <w:numPr>
        <w:numId w:val="4"/>
      </w:numPr>
    </w:pPr>
  </w:style>
  <w:style w:type="paragraph" w:styleId="NDVariantA2" w:customStyle="1">
    <w:name w:val="ND Variant A 2"/>
    <w:basedOn w:val="NDVariantA1"/>
    <w:uiPriority w:val="99"/>
    <w:qFormat w:val="1"/>
    <w:rsid w:val="00AA14F4"/>
    <w:pPr>
      <w:numPr>
        <w:ilvl w:val="1"/>
      </w:numPr>
    </w:pPr>
  </w:style>
  <w:style w:type="paragraph" w:styleId="NDVariantA3" w:customStyle="1">
    <w:name w:val="ND Variant A 3"/>
    <w:basedOn w:val="NDVariantA2"/>
    <w:uiPriority w:val="99"/>
    <w:qFormat w:val="1"/>
    <w:rsid w:val="00AA14F4"/>
    <w:pPr>
      <w:numPr>
        <w:ilvl w:val="2"/>
      </w:numPr>
    </w:pPr>
  </w:style>
  <w:style w:type="paragraph" w:styleId="NDVariantA4" w:customStyle="1">
    <w:name w:val="ND Variant A 4"/>
    <w:basedOn w:val="NDVariantA3"/>
    <w:uiPriority w:val="99"/>
    <w:qFormat w:val="1"/>
    <w:rsid w:val="00AA14F4"/>
    <w:pPr>
      <w:numPr>
        <w:ilvl w:val="3"/>
      </w:numPr>
    </w:pPr>
  </w:style>
  <w:style w:type="numbering" w:styleId="ListNDVariantA" w:customStyle="1">
    <w:name w:val="List ND Variant A"/>
    <w:rsid w:val="00823E2E"/>
    <w:pPr>
      <w:numPr>
        <w:numId w:val="1"/>
      </w:numPr>
    </w:pPr>
  </w:style>
  <w:style w:type="paragraph" w:styleId="NDVariantA5" w:customStyle="1">
    <w:name w:val="ND Variant A 5"/>
    <w:basedOn w:val="BodyText"/>
    <w:uiPriority w:val="99"/>
    <w:qFormat w:val="1"/>
    <w:rsid w:val="00823E2E"/>
    <w:pPr>
      <w:numPr>
        <w:ilvl w:val="4"/>
        <w:numId w:val="4"/>
      </w:numPr>
    </w:pPr>
  </w:style>
  <w:style w:type="paragraph" w:styleId="NDSchedule1Heading" w:customStyle="1">
    <w:name w:val="ND Schedule 1 Heading"/>
    <w:basedOn w:val="Normal"/>
    <w:next w:val="NDBodyIndent"/>
    <w:uiPriority w:val="99"/>
    <w:qFormat w:val="1"/>
    <w:rsid w:val="00880466"/>
    <w:pPr>
      <w:tabs>
        <w:tab w:val="num" w:pos="709"/>
      </w:tabs>
      <w:spacing w:after="0" w:line="300" w:lineRule="exact"/>
      <w:ind w:left="709" w:hanging="709"/>
      <w:outlineLvl w:val="0"/>
    </w:pPr>
    <w:rPr>
      <w:rFonts w:asciiTheme="majorHAnsi" w:hAnsiTheme="majorHAnsi"/>
      <w:b w:val="1"/>
      <w:caps w:val="1"/>
    </w:rPr>
  </w:style>
  <w:style w:type="numbering" w:styleId="ListNDSchedule" w:customStyle="1">
    <w:name w:val="List ND Schedule"/>
    <w:rsid w:val="00880466"/>
    <w:pPr>
      <w:numPr>
        <w:numId w:val="2"/>
      </w:numPr>
    </w:pPr>
  </w:style>
  <w:style w:type="paragraph" w:styleId="NDTitle1" w:customStyle="1">
    <w:name w:val="ND Title 1"/>
    <w:basedOn w:val="BodyText"/>
    <w:next w:val="BodyText"/>
    <w:uiPriority w:val="99"/>
    <w:qFormat w:val="1"/>
    <w:rsid w:val="00477966"/>
    <w:pPr>
      <w:keepNext w:val="1"/>
      <w:spacing w:after="300"/>
      <w:jc w:val="center"/>
      <w:outlineLvl w:val="0"/>
    </w:pPr>
    <w:rPr>
      <w:rFonts w:asciiTheme="majorHAnsi" w:hAnsiTheme="majorHAnsi"/>
      <w:b w:val="1"/>
      <w:caps w:val="1"/>
      <w:u w:val="single"/>
    </w:rPr>
  </w:style>
  <w:style w:type="paragraph" w:styleId="NDTitle2" w:customStyle="1">
    <w:name w:val="ND Title 2"/>
    <w:basedOn w:val="BodyText"/>
    <w:next w:val="BodyText"/>
    <w:uiPriority w:val="99"/>
    <w:qFormat w:val="1"/>
    <w:rsid w:val="00477966"/>
    <w:pPr>
      <w:keepNext w:val="1"/>
      <w:spacing w:after="300"/>
      <w:outlineLvl w:val="0"/>
    </w:pPr>
    <w:rPr>
      <w:rFonts w:asciiTheme="majorHAnsi" w:hAnsiTheme="majorHAnsi"/>
      <w:b w:val="1"/>
      <w:caps w:val="1"/>
    </w:rPr>
  </w:style>
  <w:style w:type="numbering" w:styleId="ListNDContinuousNumbering" w:customStyle="1">
    <w:name w:val="List ND Continuous Numbering"/>
    <w:rsid w:val="00703135"/>
    <w:pPr>
      <w:numPr>
        <w:numId w:val="9"/>
      </w:numPr>
    </w:pPr>
  </w:style>
  <w:style w:type="table" w:styleId="TableGrid">
    <w:name w:val="Table Grid"/>
    <w:basedOn w:val="TableNormal"/>
    <w:uiPriority w:val="59"/>
    <w:rsid w:val="00B8694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istNDStandard" w:customStyle="1">
    <w:name w:val="List ND Standard"/>
    <w:rsid w:val="00BF2673"/>
    <w:pPr>
      <w:numPr>
        <w:numId w:val="11"/>
      </w:numPr>
    </w:pPr>
  </w:style>
  <w:style w:type="paragraph" w:styleId="NDVariantB2" w:customStyle="1">
    <w:name w:val="ND Variant B 2"/>
    <w:basedOn w:val="BodyText"/>
    <w:next w:val="NDBodyIndent"/>
    <w:uiPriority w:val="99"/>
    <w:qFormat w:val="1"/>
    <w:rsid w:val="0006510A"/>
    <w:pPr>
      <w:numPr>
        <w:ilvl w:val="1"/>
        <w:numId w:val="6"/>
      </w:numPr>
    </w:pPr>
    <w:rPr>
      <w:b w:val="1"/>
    </w:rPr>
  </w:style>
  <w:style w:type="paragraph" w:styleId="NDVariantB3" w:customStyle="1">
    <w:name w:val="ND Variant B 3"/>
    <w:basedOn w:val="BodyText"/>
    <w:next w:val="NDBodyIndent"/>
    <w:uiPriority w:val="99"/>
    <w:qFormat w:val="1"/>
    <w:rsid w:val="0006510A"/>
    <w:pPr>
      <w:numPr>
        <w:ilvl w:val="2"/>
        <w:numId w:val="6"/>
      </w:numPr>
    </w:pPr>
    <w:rPr>
      <w:b w:val="1"/>
    </w:rPr>
  </w:style>
  <w:style w:type="paragraph" w:styleId="NDVariantB4" w:customStyle="1">
    <w:name w:val="ND Variant B 4"/>
    <w:basedOn w:val="BodyText"/>
    <w:uiPriority w:val="99"/>
    <w:qFormat w:val="1"/>
    <w:rsid w:val="0006510A"/>
    <w:pPr>
      <w:numPr>
        <w:ilvl w:val="3"/>
        <w:numId w:val="6"/>
      </w:numPr>
    </w:pPr>
  </w:style>
  <w:style w:type="paragraph" w:styleId="NDVariantB5" w:customStyle="1">
    <w:name w:val="ND Variant B 5"/>
    <w:basedOn w:val="BodyText"/>
    <w:uiPriority w:val="99"/>
    <w:qFormat w:val="1"/>
    <w:rsid w:val="0006510A"/>
    <w:pPr>
      <w:numPr>
        <w:ilvl w:val="4"/>
        <w:numId w:val="6"/>
      </w:numPr>
    </w:pPr>
  </w:style>
  <w:style w:type="numbering" w:styleId="ListNDVariantB" w:customStyle="1">
    <w:name w:val="List ND Variant B"/>
    <w:rsid w:val="0006510A"/>
    <w:pPr>
      <w:numPr>
        <w:numId w:val="3"/>
      </w:numPr>
    </w:pPr>
  </w:style>
  <w:style w:type="paragraph" w:styleId="NDNotarial1" w:customStyle="1">
    <w:name w:val="ND Notarial 1"/>
    <w:basedOn w:val="BodyText"/>
    <w:next w:val="BodyText"/>
    <w:uiPriority w:val="99"/>
    <w:semiHidden w:val="1"/>
    <w:qFormat w:val="1"/>
    <w:rsid w:val="003C182A"/>
    <w:pPr>
      <w:numPr>
        <w:numId w:val="8"/>
      </w:numPr>
      <w:outlineLvl w:val="0"/>
    </w:pPr>
    <w:rPr>
      <w:rFonts w:eastAsia="Times New Roman Bold" w:asciiTheme="majorHAnsi" w:hAnsiTheme="majorHAnsi"/>
      <w:b w:val="1"/>
      <w:caps w:val="1"/>
    </w:rPr>
  </w:style>
  <w:style w:type="paragraph" w:styleId="NDNotarial2" w:customStyle="1">
    <w:name w:val="ND Notarial 2"/>
    <w:basedOn w:val="BodyText"/>
    <w:next w:val="BodyText"/>
    <w:uiPriority w:val="99"/>
    <w:semiHidden w:val="1"/>
    <w:qFormat w:val="1"/>
    <w:rsid w:val="00127BA6"/>
    <w:pPr>
      <w:numPr>
        <w:ilvl w:val="1"/>
        <w:numId w:val="8"/>
      </w:numPr>
      <w:outlineLvl w:val="1"/>
    </w:pPr>
  </w:style>
  <w:style w:type="paragraph" w:styleId="NDNotarial3" w:customStyle="1">
    <w:name w:val="ND Notarial 3"/>
    <w:basedOn w:val="BodyText"/>
    <w:uiPriority w:val="99"/>
    <w:semiHidden w:val="1"/>
    <w:qFormat w:val="1"/>
    <w:rsid w:val="00127BA6"/>
    <w:pPr>
      <w:numPr>
        <w:ilvl w:val="2"/>
        <w:numId w:val="8"/>
      </w:numPr>
    </w:pPr>
  </w:style>
  <w:style w:type="paragraph" w:styleId="NDNotarial4" w:customStyle="1">
    <w:name w:val="ND Notarial 4"/>
    <w:basedOn w:val="BodyText"/>
    <w:uiPriority w:val="99"/>
    <w:semiHidden w:val="1"/>
    <w:qFormat w:val="1"/>
    <w:rsid w:val="00127BA6"/>
    <w:pPr>
      <w:numPr>
        <w:ilvl w:val="3"/>
        <w:numId w:val="8"/>
      </w:numPr>
    </w:pPr>
  </w:style>
  <w:style w:type="numbering" w:styleId="ListNDNotarial" w:customStyle="1">
    <w:name w:val="List ND Notarial"/>
    <w:rsid w:val="00127BA6"/>
    <w:pPr>
      <w:numPr>
        <w:numId w:val="5"/>
      </w:numPr>
    </w:pPr>
  </w:style>
  <w:style w:type="paragraph" w:styleId="NDBodyIndent" w:customStyle="1">
    <w:name w:val="ND Body Indent"/>
    <w:basedOn w:val="BodyText"/>
    <w:uiPriority w:val="99"/>
    <w:rsid w:val="00264A79"/>
    <w:pPr>
      <w:ind w:left="709"/>
    </w:pPr>
  </w:style>
  <w:style w:type="paragraph" w:styleId="NDBullet" w:customStyle="1">
    <w:name w:val="ND Bullet"/>
    <w:basedOn w:val="BodyText"/>
    <w:uiPriority w:val="99"/>
    <w:qFormat w:val="1"/>
    <w:rsid w:val="008E0D41"/>
    <w:pPr>
      <w:numPr>
        <w:numId w:val="7"/>
      </w:numPr>
      <w:tabs>
        <w:tab w:val="left" w:pos="709"/>
      </w:tabs>
    </w:pPr>
  </w:style>
  <w:style w:type="paragraph" w:styleId="Header">
    <w:name w:val="header"/>
    <w:basedOn w:val="Normal"/>
    <w:link w:val="HeaderChar"/>
    <w:uiPriority w:val="99"/>
    <w:rsid w:val="008145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1700"/>
    <w:rPr>
      <w:lang w:val="en-GB"/>
    </w:rPr>
  </w:style>
  <w:style w:type="paragraph" w:styleId="Footer">
    <w:name w:val="footer"/>
    <w:basedOn w:val="Normal"/>
    <w:link w:val="FooterChar"/>
    <w:uiPriority w:val="99"/>
    <w:rsid w:val="00C67306"/>
    <w:pPr>
      <w:tabs>
        <w:tab w:val="center" w:pos="4513"/>
        <w:tab w:val="right" w:pos="9026"/>
      </w:tabs>
      <w:spacing w:after="0" w:line="240" w:lineRule="auto"/>
    </w:pPr>
    <w:rPr>
      <w:sz w:val="16"/>
    </w:rPr>
  </w:style>
  <w:style w:type="character" w:styleId="FooterChar" w:customStyle="1">
    <w:name w:val="Footer Char"/>
    <w:basedOn w:val="DefaultParagraphFont"/>
    <w:link w:val="Footer"/>
    <w:uiPriority w:val="99"/>
    <w:rsid w:val="00D21700"/>
    <w:rPr>
      <w:sz w:val="16"/>
      <w:lang w:val="en-GB"/>
    </w:rPr>
  </w:style>
  <w:style w:type="paragraph" w:styleId="Standard" w:customStyle="1">
    <w:name w:val="Standard"/>
    <w:basedOn w:val="Normal"/>
    <w:uiPriority w:val="99"/>
    <w:semiHidden w:val="1"/>
    <w:rsid w:val="00793CF3"/>
    <w:pPr>
      <w:spacing w:after="0" w:line="300" w:lineRule="exact"/>
    </w:pPr>
    <w:rPr>
      <w:rFonts w:cs="Times New Roman" w:eastAsia="Times New Roman"/>
      <w:szCs w:val="20"/>
      <w:lang w:eastAsia="nl-NL"/>
    </w:rPr>
  </w:style>
  <w:style w:type="paragraph" w:styleId="File" w:customStyle="1">
    <w:name w:val="File"/>
    <w:basedOn w:val="Normal"/>
    <w:uiPriority w:val="99"/>
    <w:semiHidden w:val="1"/>
    <w:rsid w:val="00793CF3"/>
    <w:pPr>
      <w:spacing w:after="0" w:line="300" w:lineRule="exact"/>
    </w:pPr>
    <w:rPr>
      <w:rFonts w:cs="Times New Roman" w:eastAsia="Times New Roman"/>
      <w:szCs w:val="20"/>
      <w:lang w:eastAsia="nl-NL"/>
    </w:rPr>
  </w:style>
  <w:style w:type="paragraph" w:styleId="FootnoteText">
    <w:name w:val="footnote text"/>
    <w:basedOn w:val="Normal"/>
    <w:link w:val="FootnoteTextChar"/>
    <w:uiPriority w:val="99"/>
    <w:semiHidden w:val="1"/>
    <w:unhideWhenUsed w:val="1"/>
    <w:rsid w:val="00315353"/>
    <w:pPr>
      <w:spacing w:after="0" w:line="240" w:lineRule="auto"/>
      <w:ind w:left="102" w:hanging="102"/>
    </w:pPr>
    <w:rPr>
      <w:sz w:val="16"/>
      <w:szCs w:val="20"/>
    </w:rPr>
  </w:style>
  <w:style w:type="character" w:styleId="FootnoteTextChar" w:customStyle="1">
    <w:name w:val="Footnote Text Char"/>
    <w:basedOn w:val="DefaultParagraphFont"/>
    <w:link w:val="FootnoteText"/>
    <w:uiPriority w:val="99"/>
    <w:semiHidden w:val="1"/>
    <w:rsid w:val="00315353"/>
    <w:rPr>
      <w:sz w:val="16"/>
      <w:szCs w:val="20"/>
      <w:lang w:val="en-GB"/>
    </w:rPr>
  </w:style>
  <w:style w:type="paragraph" w:styleId="NDCitation" w:customStyle="1">
    <w:name w:val="ND Citation"/>
    <w:basedOn w:val="BodyText"/>
    <w:uiPriority w:val="99"/>
    <w:qFormat w:val="1"/>
    <w:rsid w:val="003754EF"/>
    <w:pPr>
      <w:ind w:left="709"/>
    </w:pPr>
    <w:rPr>
      <w:i w:val="1"/>
    </w:rPr>
  </w:style>
  <w:style w:type="paragraph" w:styleId="NDNotarialTitle" w:customStyle="1">
    <w:name w:val="ND Notarial Title"/>
    <w:basedOn w:val="BodyText"/>
    <w:next w:val="BodyText"/>
    <w:uiPriority w:val="99"/>
    <w:semiHidden w:val="1"/>
    <w:qFormat w:val="1"/>
    <w:rsid w:val="005F585B"/>
    <w:pPr>
      <w:tabs>
        <w:tab w:val="num" w:pos="709"/>
      </w:tabs>
      <w:outlineLvl w:val="0"/>
    </w:pPr>
    <w:rPr>
      <w:rFonts w:ascii="Times New Roman" w:cs="Times New Roman" w:eastAsia="Times New Roman" w:hAnsi="Times New Roman"/>
      <w:b w:val="1"/>
      <w:caps w:val="1"/>
      <w:lang w:eastAsia="nl-NL"/>
    </w:rPr>
  </w:style>
  <w:style w:type="paragraph" w:styleId="NDContinuous" w:customStyle="1">
    <w:name w:val="ND Continuous"/>
    <w:basedOn w:val="BodyText"/>
    <w:uiPriority w:val="99"/>
    <w:qFormat w:val="1"/>
    <w:rsid w:val="00703135"/>
    <w:pPr>
      <w:numPr>
        <w:numId w:val="10"/>
      </w:numPr>
    </w:pPr>
  </w:style>
  <w:style w:type="paragraph" w:styleId="TOC1">
    <w:name w:val="toc 1"/>
    <w:basedOn w:val="Normal"/>
    <w:next w:val="Normal"/>
    <w:uiPriority w:val="99"/>
    <w:semiHidden w:val="1"/>
    <w:unhideWhenUsed w:val="1"/>
    <w:rsid w:val="0065663B"/>
    <w:pPr>
      <w:tabs>
        <w:tab w:val="left" w:pos="709"/>
        <w:tab w:val="right" w:leader="dot" w:pos="9015"/>
      </w:tabs>
      <w:spacing w:after="100"/>
    </w:pPr>
  </w:style>
  <w:style w:type="paragraph" w:styleId="TOC2">
    <w:name w:val="toc 2"/>
    <w:basedOn w:val="Normal"/>
    <w:next w:val="Normal"/>
    <w:uiPriority w:val="99"/>
    <w:semiHidden w:val="1"/>
    <w:unhideWhenUsed w:val="1"/>
    <w:rsid w:val="0065663B"/>
    <w:pPr>
      <w:tabs>
        <w:tab w:val="left" w:pos="709"/>
        <w:tab w:val="right" w:leader="dot" w:pos="9015"/>
      </w:tabs>
      <w:spacing w:after="100"/>
    </w:pPr>
  </w:style>
  <w:style w:type="paragraph" w:styleId="TOC3">
    <w:name w:val="toc 3"/>
    <w:basedOn w:val="Normal"/>
    <w:next w:val="Normal"/>
    <w:uiPriority w:val="99"/>
    <w:semiHidden w:val="1"/>
    <w:unhideWhenUsed w:val="1"/>
    <w:rsid w:val="0065663B"/>
    <w:pPr>
      <w:tabs>
        <w:tab w:val="left" w:pos="709"/>
        <w:tab w:val="right" w:leader="dot" w:pos="9015"/>
      </w:tabs>
      <w:spacing w:after="100"/>
    </w:pPr>
  </w:style>
  <w:style w:type="paragraph" w:styleId="NDE-mail" w:customStyle="1">
    <w:name w:val="ND E-mail"/>
    <w:uiPriority w:val="99"/>
    <w:qFormat w:val="1"/>
    <w:rsid w:val="00C57DF1"/>
    <w:pPr>
      <w:spacing w:after="0" w:line="240" w:lineRule="auto"/>
    </w:pPr>
    <w:rPr>
      <w:rFonts w:ascii="Arial" w:hAnsi="Arial"/>
      <w:sz w:val="20"/>
    </w:rPr>
  </w:style>
  <w:style w:type="paragraph" w:styleId="BalloonText">
    <w:name w:val="Balloon Text"/>
    <w:basedOn w:val="Normal"/>
    <w:link w:val="BalloonTextChar"/>
    <w:uiPriority w:val="99"/>
    <w:semiHidden w:val="1"/>
    <w:unhideWhenUsed w:val="1"/>
    <w:rsid w:val="00BD7FB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7FB7"/>
    <w:rPr>
      <w:rFonts w:ascii="Tahoma" w:cs="Tahoma" w:hAnsi="Tahoma"/>
      <w:sz w:val="16"/>
      <w:szCs w:val="16"/>
      <w:lang w:val="en-GB"/>
    </w:rPr>
  </w:style>
  <w:style w:type="character" w:styleId="Strong">
    <w:name w:val="Strong"/>
    <w:basedOn w:val="DefaultParagraphFont"/>
    <w:uiPriority w:val="22"/>
    <w:qFormat w:val="1"/>
    <w:rsid w:val="00E55D42"/>
    <w:rPr>
      <w:b w:val="1"/>
      <w:bCs w:val="1"/>
      <w:lang w:val="en-GB"/>
    </w:rPr>
  </w:style>
  <w:style w:type="paragraph" w:styleId="PlainText">
    <w:name w:val="Plain Text"/>
    <w:basedOn w:val="Normal"/>
    <w:link w:val="PlainTextChar"/>
    <w:uiPriority w:val="99"/>
    <w:unhideWhenUsed w:val="1"/>
    <w:rsid w:val="002702AA"/>
    <w:pPr>
      <w:spacing w:after="0" w:line="240" w:lineRule="auto"/>
    </w:pPr>
    <w:rPr>
      <w:rFonts w:ascii="Consolas" w:cs="Times New Roman" w:eastAsia="Calibri" w:hAnsi="Consolas"/>
      <w:sz w:val="21"/>
      <w:szCs w:val="21"/>
    </w:rPr>
  </w:style>
  <w:style w:type="character" w:styleId="PlainTextChar" w:customStyle="1">
    <w:name w:val="Plain Text Char"/>
    <w:basedOn w:val="DefaultParagraphFont"/>
    <w:link w:val="PlainText"/>
    <w:uiPriority w:val="99"/>
    <w:rsid w:val="002702AA"/>
    <w:rPr>
      <w:rFonts w:ascii="Consolas" w:cs="Times New Roman" w:eastAsia="Calibri" w:hAnsi="Consolas"/>
      <w:sz w:val="21"/>
      <w:szCs w:val="21"/>
      <w:lang w:val="en-GB"/>
    </w:rPr>
  </w:style>
  <w:style w:type="paragraph" w:styleId="ListParagraph">
    <w:name w:val="List Paragraph"/>
    <w:basedOn w:val="Normal"/>
    <w:uiPriority w:val="99"/>
    <w:qFormat w:val="1"/>
    <w:rsid w:val="00EE391A"/>
    <w:pPr>
      <w:ind w:left="720"/>
      <w:contextualSpacing w:val="1"/>
    </w:pPr>
  </w:style>
  <w:style w:type="paragraph" w:styleId="BioText" w:customStyle="1">
    <w:name w:val="BioText"/>
    <w:uiPriority w:val="99"/>
    <w:rsid w:val="003B6B6F"/>
    <w:pPr>
      <w:spacing w:after="240" w:line="240" w:lineRule="auto"/>
    </w:pPr>
    <w:rPr>
      <w:rFonts w:cs="Times New Roman" w:eastAsia="Times New Roman"/>
      <w:szCs w:val="20"/>
      <w:lang w:val="en-US"/>
    </w:rPr>
  </w:style>
  <w:style w:type="character" w:styleId="Hyperlink">
    <w:name w:val="Hyperlink"/>
    <w:basedOn w:val="DefaultParagraphFont"/>
    <w:uiPriority w:val="99"/>
    <w:unhideWhenUsed w:val="1"/>
    <w:rsid w:val="006E3816"/>
    <w:rPr>
      <w:color w:val="0000ff" w:themeColor="hyperlink"/>
      <w:u w:val="single"/>
    </w:rPr>
  </w:style>
  <w:style w:type="paragraph" w:styleId="BodyTextIndent">
    <w:name w:val="Body Text Indent"/>
    <w:basedOn w:val="Normal"/>
    <w:link w:val="BodyTextIndentChar"/>
    <w:uiPriority w:val="99"/>
    <w:unhideWhenUsed w:val="1"/>
    <w:rsid w:val="00FF6D56"/>
    <w:pPr>
      <w:spacing w:after="120"/>
      <w:ind w:left="283"/>
    </w:pPr>
  </w:style>
  <w:style w:type="character" w:styleId="BodyTextIndentChar" w:customStyle="1">
    <w:name w:val="Body Text Indent Char"/>
    <w:basedOn w:val="DefaultParagraphFont"/>
    <w:link w:val="BodyTextIndent"/>
    <w:uiPriority w:val="99"/>
    <w:rsid w:val="00FF6D56"/>
    <w:rPr>
      <w:rFonts w:asciiTheme="minorHAnsi" w:hAnsiTheme="minorHAnsi"/>
    </w:rPr>
  </w:style>
  <w:style w:type="character" w:styleId="CommentReference">
    <w:name w:val="annotation reference"/>
    <w:basedOn w:val="DefaultParagraphFont"/>
    <w:uiPriority w:val="99"/>
    <w:semiHidden w:val="1"/>
    <w:unhideWhenUsed w:val="1"/>
    <w:rsid w:val="0058712D"/>
    <w:rPr>
      <w:sz w:val="16"/>
      <w:szCs w:val="16"/>
    </w:rPr>
  </w:style>
  <w:style w:type="paragraph" w:styleId="CommentText">
    <w:name w:val="annotation text"/>
    <w:basedOn w:val="Normal"/>
    <w:link w:val="CommentTextChar"/>
    <w:uiPriority w:val="99"/>
    <w:semiHidden w:val="1"/>
    <w:unhideWhenUsed w:val="1"/>
    <w:rsid w:val="0058712D"/>
    <w:pPr>
      <w:spacing w:line="240" w:lineRule="auto"/>
    </w:pPr>
    <w:rPr>
      <w:sz w:val="20"/>
      <w:szCs w:val="20"/>
    </w:rPr>
  </w:style>
  <w:style w:type="character" w:styleId="CommentTextChar" w:customStyle="1">
    <w:name w:val="Comment Text Char"/>
    <w:basedOn w:val="DefaultParagraphFont"/>
    <w:link w:val="CommentText"/>
    <w:uiPriority w:val="99"/>
    <w:semiHidden w:val="1"/>
    <w:rsid w:val="0058712D"/>
    <w:rPr>
      <w:rFonts w:asciiTheme="minorHAnsi" w:hAnsiTheme="minorHAnsi"/>
      <w:sz w:val="20"/>
      <w:szCs w:val="20"/>
    </w:rPr>
  </w:style>
  <w:style w:type="paragraph" w:styleId="CommentSubject">
    <w:name w:val="annotation subject"/>
    <w:basedOn w:val="CommentText"/>
    <w:next w:val="CommentText"/>
    <w:link w:val="CommentSubjectChar"/>
    <w:uiPriority w:val="99"/>
    <w:semiHidden w:val="1"/>
    <w:unhideWhenUsed w:val="1"/>
    <w:rsid w:val="0058712D"/>
    <w:rPr>
      <w:b w:val="1"/>
      <w:bCs w:val="1"/>
    </w:rPr>
  </w:style>
  <w:style w:type="character" w:styleId="CommentSubjectChar" w:customStyle="1">
    <w:name w:val="Comment Subject Char"/>
    <w:basedOn w:val="CommentTextChar"/>
    <w:link w:val="CommentSubject"/>
    <w:uiPriority w:val="99"/>
    <w:semiHidden w:val="1"/>
    <w:rsid w:val="0058712D"/>
    <w:rPr>
      <w:rFonts w:asciiTheme="minorHAnsi" w:hAnsiTheme="minorHAnsi"/>
      <w:b w:val="1"/>
      <w:bCs w:val="1"/>
      <w:sz w:val="20"/>
      <w:szCs w:val="20"/>
    </w:rPr>
  </w:style>
  <w:style w:type="character" w:styleId="font" w:customStyle="1">
    <w:name w:val="font"/>
    <w:basedOn w:val="DefaultParagraphFont"/>
    <w:rsid w:val="00080103"/>
    <w:rPr>
      <w:rFonts w:cs="Times New Roman"/>
    </w:rPr>
  </w:style>
  <w:style w:type="paragraph" w:styleId="Ttulo1" w:customStyle="1">
    <w:name w:val="Título1"/>
    <w:basedOn w:val="Normal"/>
    <w:uiPriority w:val="99"/>
    <w:rsid w:val="00080103"/>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NormalWeb">
    <w:name w:val="Normal (Web)"/>
    <w:basedOn w:val="Normal"/>
    <w:uiPriority w:val="99"/>
    <w:rsid w:val="00080103"/>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character" w:styleId="apple-converted-space" w:customStyle="1">
    <w:name w:val="apple-converted-space"/>
    <w:basedOn w:val="DefaultParagraphFont"/>
    <w:uiPriority w:val="99"/>
    <w:rsid w:val="00080103"/>
    <w:rPr>
      <w:rFonts w:cs="Times New Roman"/>
    </w:rPr>
  </w:style>
  <w:style w:type="character" w:styleId="Emphasis">
    <w:name w:val="Emphasis"/>
    <w:basedOn w:val="DefaultParagraphFont"/>
    <w:uiPriority w:val="20"/>
    <w:qFormat w:val="1"/>
    <w:rsid w:val="00080103"/>
    <w:rPr>
      <w:rFonts w:cs="Times New Roman"/>
      <w:i w:val="1"/>
      <w:iCs w:val="1"/>
    </w:rPr>
  </w:style>
  <w:style w:type="character" w:styleId="Heading4Char" w:customStyle="1">
    <w:name w:val="Heading 4 Char"/>
    <w:basedOn w:val="DefaultParagraphFont"/>
    <w:link w:val="Heading4"/>
    <w:uiPriority w:val="9"/>
    <w:rsid w:val="00DB4A37"/>
    <w:rPr>
      <w:rFonts w:cs="Times New Roman" w:eastAsia="Times New Roman"/>
      <w:b w:val="1"/>
      <w:bCs w:val="1"/>
      <w:sz w:val="24"/>
      <w:szCs w:val="24"/>
      <w:lang w:eastAsia="nl-NL" w:val="nl-NL"/>
    </w:rPr>
  </w:style>
  <w:style w:type="paragraph" w:styleId="ao-rteelement-introtext" w:customStyle="1">
    <w:name w:val="ao-rteelement-introtext"/>
    <w:basedOn w:val="Normal"/>
    <w:rsid w:val="00DB4A37"/>
    <w:pPr>
      <w:spacing w:after="100" w:afterAutospacing="1" w:before="100" w:beforeAutospacing="1" w:line="240" w:lineRule="auto"/>
    </w:pPr>
    <w:rPr>
      <w:rFonts w:ascii="Times New Roman" w:cs="Times New Roman" w:eastAsia="Times New Roman" w:hAnsi="Times New Roman"/>
      <w:sz w:val="24"/>
      <w:szCs w:val="24"/>
      <w:lang w:eastAsia="nl-NL" w:val="nl-NL"/>
    </w:rPr>
  </w:style>
  <w:style w:type="paragraph" w:styleId="Default" w:customStyle="1">
    <w:name w:val="Default"/>
    <w:rsid w:val="009B0CC1"/>
    <w:pPr>
      <w:autoSpaceDE w:val="0"/>
      <w:autoSpaceDN w:val="0"/>
      <w:adjustRightInd w:val="0"/>
      <w:spacing w:after="0" w:line="240" w:lineRule="auto"/>
    </w:pPr>
    <w:rPr>
      <w:rFonts w:ascii="Garamond" w:cs="Garamond" w:hAnsi="Garamond"/>
      <w:color w:val="000000"/>
      <w:sz w:val="24"/>
      <w:szCs w:val="24"/>
      <w:lang w:val="nl-NL"/>
    </w:rPr>
  </w:style>
  <w:style w:type="character" w:styleId="FootnoteReference">
    <w:name w:val="footnote reference"/>
    <w:basedOn w:val="DefaultParagraphFont"/>
    <w:uiPriority w:val="99"/>
    <w:semiHidden w:val="1"/>
    <w:unhideWhenUsed w:val="1"/>
    <w:rsid w:val="00B31657"/>
    <w:rPr>
      <w:vertAlign w:val="superscript"/>
    </w:rPr>
  </w:style>
  <w:style w:type="character" w:styleId="il" w:customStyle="1">
    <w:name w:val="il"/>
    <w:basedOn w:val="DefaultParagraphFont"/>
    <w:rsid w:val="007531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mQ4QQe56znWa5UFN4Tc5uCe9g==">AMUW2mUj1GW8kFZW7NDqsVHl8Xv1u62oP1GNzEPyYuGV/Tq3xEhS5b4437H46eB1YsmcULG474yBYES1rnxoWsFuFkfcrhSereNUHxZJaaxLWt4OwKBj2F6IDzPOa9LK5UBpmgvfn39pLPGKNOybynJJtntgqmhh436hXF3FeCi+RX2wds0QcRHQVxp0oRju8SFHOvyvuOWKWkqEr4apT98dqGpCicdnig==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2022-02-14T15:37:00Z</dcterms:created>
  <dc:creator>NautaDutilh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MAIL_MSG_ID1">
    <vt:lpwstr>gFAACRwgU2+mnxnXD0Uji9SGh8DrDusGJrHCw8/Q32XjGGbfXVZ8ZlqftdcdNHJVulxWOBH+FwvGtQ2v
Vo14NfchVEf7/3HztSkR81gvAqORZ+++SwwT0PJoeBN/lmVONjPENHhaeHXiB/D4jnihPfmmcx27
0ZvQgH9RDFJD+JivB9lLFS56oSK2tvhwJpPkD+0erpsHlMNweJ78qF9bTeG3W1XC0DT6yuscaA8V
qihS73x05i9n5uEmX</vt:lpwstr>
  </property>
  <property fmtid="{D5CDD505-2E9C-101B-9397-08002B2CF9AE}" pid="4" name="MAIL_MSG_ID2">
    <vt:lpwstr>zh/oQR/akoOZ9gIf5zpUw/GjjVmksDCv/kv+aYY+lFUEsTawRCJa2m8OS/g
bjAWYQVOilmP+7RxsjZyn/1QXdrk4WFCJktfxQ==</vt:lpwstr>
  </property>
  <property fmtid="{D5CDD505-2E9C-101B-9397-08002B2CF9AE}" pid="5" name="RESPONSE_SENDER_NAME">
    <vt:lpwstr>4AAA4Lxe55UJ0C9zz1lwjZZdogutA8gkj49E0iaUXM10ys4QlqqE0XM30A==</vt:lpwstr>
  </property>
  <property fmtid="{D5CDD505-2E9C-101B-9397-08002B2CF9AE}" pid="6" name="EMAIL_OWNER_ADDRESS">
    <vt:lpwstr>ABAAgoCixPcRe8ncenAkyTIRDWNbmo71vigUBC9bXMOv59AF6/TOAS7NaIoR5t9Cw9fx</vt:lpwstr>
  </property>
  <property fmtid="{D5CDD505-2E9C-101B-9397-08002B2CF9AE}" pid="7" name="DocRef">
    <vt:lpwstr>53088983 M 24953338 / 5</vt:lpwstr>
  </property>
  <property fmtid="{D5CDD505-2E9C-101B-9397-08002B2CF9AE}" pid="8" name="DocRefState">
    <vt:bool>true</vt:bool>
  </property>
</Properties>
</file>