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94BE" w14:textId="77777777" w:rsidR="004D69C2" w:rsidRDefault="00FB593F">
      <w:pPr>
        <w:pBdr>
          <w:top w:val="nil"/>
          <w:left w:val="nil"/>
          <w:bottom w:val="nil"/>
          <w:right w:val="nil"/>
          <w:between w:val="nil"/>
        </w:pBdr>
        <w:spacing w:before="74"/>
        <w:ind w:left="-721"/>
        <w:jc w:val="both"/>
        <w:rPr>
          <w:b/>
          <w:i/>
          <w:color w:val="002060"/>
        </w:rPr>
      </w:pPr>
      <w:r>
        <w:t xml:space="preserve">            </w:t>
      </w:r>
      <w:r>
        <w:rPr>
          <w:b/>
          <w:i/>
          <w:color w:val="002060"/>
        </w:rPr>
        <w:t xml:space="preserve">A unique collaboration of experts in law and finance </w:t>
      </w:r>
    </w:p>
    <w:p w14:paraId="58662027" w14:textId="77777777" w:rsidR="004D69C2" w:rsidRDefault="004D69C2">
      <w:pPr>
        <w:pBdr>
          <w:top w:val="nil"/>
          <w:left w:val="nil"/>
          <w:bottom w:val="nil"/>
          <w:right w:val="nil"/>
          <w:between w:val="nil"/>
        </w:pBdr>
        <w:spacing w:before="74"/>
        <w:ind w:left="239" w:hanging="960"/>
        <w:jc w:val="both"/>
        <w:rPr>
          <w:i/>
        </w:rPr>
      </w:pPr>
    </w:p>
    <w:p w14:paraId="60EC5DEB" w14:textId="77777777" w:rsidR="004D69C2" w:rsidRDefault="00FB593F">
      <w:pPr>
        <w:pBdr>
          <w:top w:val="nil"/>
          <w:left w:val="nil"/>
          <w:bottom w:val="nil"/>
          <w:right w:val="nil"/>
          <w:between w:val="nil"/>
        </w:pBdr>
        <w:spacing w:before="74"/>
        <w:jc w:val="both"/>
      </w:pPr>
      <w:r>
        <w:rPr>
          <w:i/>
        </w:rPr>
        <w:t>Press release from The P.R.I.M.E. Finance Foundation</w:t>
      </w:r>
    </w:p>
    <w:p w14:paraId="66DBF3D5" w14:textId="77777777" w:rsidR="004D69C2" w:rsidRDefault="004D69C2">
      <w:pPr>
        <w:pBdr>
          <w:top w:val="nil"/>
          <w:left w:val="nil"/>
          <w:bottom w:val="nil"/>
          <w:right w:val="nil"/>
          <w:between w:val="nil"/>
        </w:pBdr>
        <w:spacing w:before="11"/>
        <w:ind w:hanging="960"/>
        <w:rPr>
          <w:i/>
        </w:rPr>
      </w:pPr>
    </w:p>
    <w:p w14:paraId="1F262F10" w14:textId="0CFFDC12" w:rsidR="004D69C2" w:rsidRDefault="00FB593F">
      <w:pPr>
        <w:pBdr>
          <w:top w:val="nil"/>
          <w:left w:val="nil"/>
          <w:bottom w:val="nil"/>
          <w:right w:val="nil"/>
          <w:between w:val="nil"/>
        </w:pBdr>
        <w:jc w:val="both"/>
      </w:pPr>
      <w:r>
        <w:t>The Hague, 2</w:t>
      </w:r>
      <w:r w:rsidR="003C6F8B">
        <w:t>7</w:t>
      </w:r>
      <w:r>
        <w:t xml:space="preserve"> March 202</w:t>
      </w:r>
      <w:r w:rsidR="00862660">
        <w:t>4</w:t>
      </w:r>
      <w:r>
        <w:t xml:space="preserve"> — for immediate </w:t>
      </w:r>
      <w:proofErr w:type="gramStart"/>
      <w:r>
        <w:t>release</w:t>
      </w:r>
      <w:proofErr w:type="gramEnd"/>
    </w:p>
    <w:p w14:paraId="16E835E2" w14:textId="77777777" w:rsidR="004D69C2" w:rsidRDefault="004D69C2">
      <w:pPr>
        <w:pBdr>
          <w:top w:val="nil"/>
          <w:left w:val="nil"/>
          <w:bottom w:val="nil"/>
          <w:right w:val="nil"/>
          <w:between w:val="nil"/>
        </w:pBdr>
        <w:spacing w:before="8"/>
        <w:ind w:hanging="960"/>
      </w:pPr>
    </w:p>
    <w:p w14:paraId="6567D400" w14:textId="77777777" w:rsidR="004D69C2" w:rsidRDefault="00FB593F">
      <w:pPr>
        <w:pStyle w:val="Heading1"/>
        <w:ind w:left="0"/>
        <w:jc w:val="both"/>
      </w:pPr>
      <w:r>
        <w:t xml:space="preserve">P.R.I.M.E. Finance and the Permanent Court of Arbitration bring together experts in arbitration and finance at Paris Arbitration Week </w:t>
      </w:r>
    </w:p>
    <w:p w14:paraId="5B3CE6FB" w14:textId="77777777" w:rsidR="004D69C2" w:rsidRDefault="004D69C2">
      <w:pPr>
        <w:ind w:right="56"/>
        <w:jc w:val="both"/>
      </w:pPr>
    </w:p>
    <w:p w14:paraId="4A760300" w14:textId="77777777" w:rsidR="004D69C2" w:rsidRDefault="00FB593F">
      <w:pPr>
        <w:shd w:val="clear" w:color="auto" w:fill="FFFFFF"/>
        <w:ind w:right="56"/>
        <w:jc w:val="both"/>
      </w:pPr>
      <w:r>
        <w:t xml:space="preserve">On 20 March 2024, P.R.I.M.E. </w:t>
      </w:r>
      <w:proofErr w:type="gramStart"/>
      <w:r>
        <w:t>Finance</w:t>
      </w:r>
      <w:proofErr w:type="gramEnd"/>
      <w:r>
        <w:t xml:space="preserve"> and the Permanent Court of Arbitration (PCA) welcomed experienced banking and dispute resolution experts to speak at a sold-out event at Paris Arbitration Week on the topic of arbitrating finance disputes. The event was hosted by AFFAKI.</w:t>
      </w:r>
    </w:p>
    <w:p w14:paraId="2C5DEC58" w14:textId="77777777" w:rsidR="004D69C2" w:rsidRDefault="004D69C2">
      <w:pPr>
        <w:shd w:val="clear" w:color="auto" w:fill="FFFFFF"/>
        <w:ind w:right="56"/>
        <w:jc w:val="both"/>
      </w:pPr>
    </w:p>
    <w:p w14:paraId="2A40C18A" w14:textId="4EAA49D9" w:rsidR="004D69C2" w:rsidRDefault="00FB593F">
      <w:pPr>
        <w:shd w:val="clear" w:color="auto" w:fill="FFFFFF"/>
        <w:ind w:right="56"/>
        <w:jc w:val="both"/>
      </w:pPr>
      <w:r>
        <w:t xml:space="preserve">Moderated by Camilla Macpherson and Georges Affaki, </w:t>
      </w:r>
      <w:r w:rsidR="00481FAC">
        <w:t>panellists</w:t>
      </w:r>
      <w:r>
        <w:t xml:space="preserve"> gave a range of perspectives from the viewpoint of judges, counsel, corporate </w:t>
      </w:r>
      <w:proofErr w:type="gramStart"/>
      <w:r>
        <w:t>officers</w:t>
      </w:r>
      <w:proofErr w:type="gramEnd"/>
      <w:r>
        <w:t xml:space="preserve"> and arbitrators and examined the advantages of adopting the updated P.R.I.M.E. Finance Arbitration Rules, which are specially adapted for the resolution of complex financial disputes.  </w:t>
      </w:r>
    </w:p>
    <w:p w14:paraId="114D8F3F" w14:textId="77777777" w:rsidR="004D69C2" w:rsidRDefault="00FB593F">
      <w:pPr>
        <w:shd w:val="clear" w:color="auto" w:fill="FFFFFF"/>
        <w:ind w:right="56"/>
        <w:jc w:val="both"/>
      </w:pPr>
      <w:r>
        <w:t xml:space="preserve"> </w:t>
      </w:r>
    </w:p>
    <w:p w14:paraId="677D1BA2" w14:textId="77777777" w:rsidR="004D69C2" w:rsidRDefault="00FB593F">
      <w:pPr>
        <w:shd w:val="clear" w:color="auto" w:fill="FFFFFF"/>
        <w:ind w:right="56"/>
        <w:jc w:val="both"/>
      </w:pPr>
      <w:r>
        <w:t xml:space="preserve">Camilla Macpherson, Head of Secretariat, said: “This event was a wonderful opportunity to profile the many user-friendly features of the P.R.I.M.E. Finance Arbitration Rules. The Rules, with their focus on efficiency and transparency, were received with much enthusiasm and interest from the audience.” </w:t>
      </w:r>
    </w:p>
    <w:p w14:paraId="4599F516" w14:textId="77777777" w:rsidR="004D69C2" w:rsidRDefault="004D69C2">
      <w:pPr>
        <w:shd w:val="clear" w:color="auto" w:fill="FFFFFF"/>
        <w:ind w:right="56"/>
        <w:jc w:val="both"/>
      </w:pPr>
    </w:p>
    <w:p w14:paraId="3E5C21A9" w14:textId="291CCFEF" w:rsidR="004D69C2" w:rsidRDefault="00FB593F">
      <w:pPr>
        <w:shd w:val="clear" w:color="auto" w:fill="FFFFFF"/>
        <w:ind w:right="56"/>
        <w:jc w:val="both"/>
      </w:pPr>
      <w:r>
        <w:t>Georges Affaki said: “</w:t>
      </w:r>
      <w:r>
        <w:rPr>
          <w:highlight w:val="white"/>
        </w:rPr>
        <w:t xml:space="preserve">The feedback from participants was unanimously positive and enthusiastic. This shows that the topic is </w:t>
      </w:r>
      <w:proofErr w:type="gramStart"/>
      <w:r>
        <w:rPr>
          <w:highlight w:val="white"/>
        </w:rPr>
        <w:t>more timely</w:t>
      </w:r>
      <w:proofErr w:type="gramEnd"/>
      <w:r>
        <w:rPr>
          <w:highlight w:val="white"/>
        </w:rPr>
        <w:t xml:space="preserve"> than ever. It was a pleasure to share the stage with so many leading experts in the field.” </w:t>
      </w:r>
    </w:p>
    <w:p w14:paraId="6F8433F9" w14:textId="77777777" w:rsidR="004D69C2" w:rsidRDefault="004D69C2">
      <w:pPr>
        <w:shd w:val="clear" w:color="auto" w:fill="FFFFFF"/>
        <w:ind w:right="56"/>
        <w:jc w:val="both"/>
      </w:pPr>
    </w:p>
    <w:p w14:paraId="3DCAC0A8" w14:textId="5161CF93" w:rsidR="004D69C2" w:rsidRDefault="00FB593F">
      <w:pPr>
        <w:shd w:val="clear" w:color="auto" w:fill="FFFFFF"/>
        <w:ind w:right="56"/>
        <w:jc w:val="both"/>
      </w:pPr>
      <w:r>
        <w:t xml:space="preserve">Bryce Williams, Legal Counsel at the PCA, said: “The PCA plays a central role under the P.R.I.M.E. Finance Arbitration Rules, </w:t>
      </w:r>
      <w:r>
        <w:rPr>
          <w:highlight w:val="white"/>
        </w:rPr>
        <w:t>acting as both administering and appointing authority. The PCA is pleased to bring its experience in administering complex international proceedings to a wide range of financial disputes involving derivatives, sovereign lending, investment and advisory banking, private equity, fintech and sustainable finance.</w:t>
      </w:r>
      <w:r>
        <w:t xml:space="preserve">”  </w:t>
      </w:r>
    </w:p>
    <w:p w14:paraId="264DC7C5" w14:textId="77777777" w:rsidR="004D69C2" w:rsidRDefault="004D69C2">
      <w:pPr>
        <w:shd w:val="clear" w:color="auto" w:fill="FFFFFF"/>
        <w:ind w:right="56"/>
        <w:jc w:val="both"/>
      </w:pPr>
    </w:p>
    <w:p w14:paraId="10F5A923" w14:textId="77777777" w:rsidR="004D69C2" w:rsidRDefault="00FB593F">
      <w:pPr>
        <w:shd w:val="clear" w:color="auto" w:fill="FFFFFF"/>
        <w:ind w:right="56"/>
        <w:jc w:val="both"/>
      </w:pPr>
      <w:r>
        <w:t xml:space="preserve">Our thanks go to the speakers who made the event such a success with the breadth and depth of their expertise – Sir William Blair, Hagit Elul, James Freeman, Tsegaye Laurendeau, Prof. Loukas Mistelis, Patrick Pillon, Prof. Pierre Tercier, Marcus van Bevern, Bryce Williams and Dr. Mathias </w:t>
      </w:r>
      <w:proofErr w:type="spellStart"/>
      <w:r>
        <w:t>Wittinghofer</w:t>
      </w:r>
      <w:proofErr w:type="spellEnd"/>
      <w:r>
        <w:t>.</w:t>
      </w:r>
    </w:p>
    <w:p w14:paraId="3B664BA7" w14:textId="77777777" w:rsidR="004D69C2" w:rsidRDefault="004D69C2"/>
    <w:p w14:paraId="5E711863" w14:textId="77777777" w:rsidR="004D69C2" w:rsidRDefault="00FB593F">
      <w:pPr>
        <w:pStyle w:val="Heading1"/>
        <w:spacing w:before="69"/>
        <w:ind w:left="0"/>
      </w:pPr>
      <w:r>
        <w:t>About P.R.I.M.E. Finance</w:t>
      </w:r>
    </w:p>
    <w:p w14:paraId="099F1A47" w14:textId="77777777" w:rsidR="00481FAC" w:rsidRDefault="00481FAC" w:rsidP="00487D58"/>
    <w:p w14:paraId="37BFBB7C" w14:textId="77777777" w:rsidR="008B6D8C" w:rsidRPr="00487D58" w:rsidRDefault="008B6D8C" w:rsidP="00487D58">
      <w:pPr>
        <w:rPr>
          <w:b/>
        </w:rPr>
        <w:sectPr w:rsidR="008B6D8C" w:rsidRPr="00487D58" w:rsidSect="0065277E">
          <w:headerReference w:type="even" r:id="rId7"/>
          <w:headerReference w:type="default" r:id="rId8"/>
          <w:footerReference w:type="even" r:id="rId9"/>
          <w:footerReference w:type="default" r:id="rId10"/>
          <w:headerReference w:type="first" r:id="rId11"/>
          <w:footerReference w:type="first" r:id="rId12"/>
          <w:pgSz w:w="11900" w:h="16840"/>
          <w:pgMar w:top="2200" w:right="820" w:bottom="280" w:left="780" w:header="720" w:footer="720" w:gutter="0"/>
          <w:pgNumType w:start="1"/>
          <w:cols w:space="720"/>
        </w:sectPr>
      </w:pPr>
    </w:p>
    <w:p w14:paraId="33C17C2F" w14:textId="77777777" w:rsidR="004D69C2" w:rsidRDefault="00FB593F">
      <w:pPr>
        <w:jc w:val="both"/>
      </w:pPr>
      <w:r>
        <w:t xml:space="preserve">P.R.I.M.E. Finance is based in The Hague and was established to help resolve disputes concerning complex financial transactions. The organisation has the support of key international regulatory bodies and is complementary to the on-going financial market regulatory reform process. </w:t>
      </w:r>
    </w:p>
    <w:p w14:paraId="20C5F855" w14:textId="77777777" w:rsidR="004D69C2" w:rsidRDefault="004D69C2">
      <w:pPr>
        <w:jc w:val="both"/>
      </w:pPr>
    </w:p>
    <w:p w14:paraId="65D4A5E0" w14:textId="347255E8" w:rsidR="004D69C2" w:rsidRDefault="00FB593F">
      <w:pPr>
        <w:jc w:val="both"/>
      </w:pPr>
      <w:r>
        <w:t xml:space="preserve">In 2015, P.R.I.M.E. Finance joined forces with the Permanent Court of Arbitration. The PCA is the world’s oldest arbitral institution, with over a century of experience in administering complex international proceedings. As a result, arbitrations and mediations under the P.R.I.M.E. Finance Arbitration and Mediation Rules are administered by the PCA, and parties to complex financial transactions have access to an efficient arbitration and mediation mechanism to resolve their disputes. </w:t>
      </w:r>
    </w:p>
    <w:p w14:paraId="29EC69C7" w14:textId="77777777" w:rsidR="004D69C2" w:rsidRDefault="004D69C2">
      <w:pPr>
        <w:jc w:val="both"/>
      </w:pPr>
    </w:p>
    <w:p w14:paraId="6DA2C43E" w14:textId="77777777" w:rsidR="004D69C2" w:rsidRDefault="00FB593F">
      <w:pPr>
        <w:jc w:val="both"/>
      </w:pPr>
      <w:r>
        <w:lastRenderedPageBreak/>
        <w:t xml:space="preserve">In 2020, P.R.I.M.E. Finance won the Halsbury Rule of Law Award in the LexisNexis Law Awards, in recognition of its judicial training programme. </w:t>
      </w:r>
    </w:p>
    <w:p w14:paraId="5E49353E" w14:textId="77777777" w:rsidR="00FB593F" w:rsidRDefault="00FB593F">
      <w:pPr>
        <w:jc w:val="both"/>
      </w:pPr>
    </w:p>
    <w:p w14:paraId="69F675F0" w14:textId="2F175F24" w:rsidR="00FB593F" w:rsidRDefault="00FB593F">
      <w:pPr>
        <w:jc w:val="both"/>
        <w:rPr>
          <w:b/>
        </w:rPr>
      </w:pPr>
      <w:r w:rsidRPr="00487D58">
        <w:rPr>
          <w:b/>
        </w:rPr>
        <w:t>About the Permanent Court of Arbitration</w:t>
      </w:r>
    </w:p>
    <w:p w14:paraId="182BD6D2" w14:textId="77777777" w:rsidR="00481FAC" w:rsidRPr="00487D58" w:rsidRDefault="00481FAC">
      <w:pPr>
        <w:jc w:val="both"/>
        <w:rPr>
          <w:b/>
        </w:rPr>
      </w:pPr>
    </w:p>
    <w:p w14:paraId="3A23D0AF" w14:textId="592E8A64" w:rsidR="00FB593F" w:rsidRDefault="00FB593F">
      <w:pPr>
        <w:jc w:val="both"/>
      </w:pPr>
      <w:r>
        <w:t xml:space="preserve">The Permanent Court of Arbitration is an intergovernmental organization established by the 1899 Hague Convention on the Pacific Settlement of International Disputes. The PCA has 122 Contracting Parties. Headquartered at the Peace Palace in The Hague, the Netherlands, the PCA facilitates arbitration, conciliation, fact-finding, and other dispute resolution proceedings among various combinations of States, State entities, intergovernmental organizations, and private parties. The PCA’s International Bureau is currently administering seven inter-State disputes, 103 investor-State arbitrations, 94 cases arising under contracts involving a State or other public entity, and three other disputes. More information about the PCA can be found at </w:t>
      </w:r>
      <w:r w:rsidRPr="00487D58">
        <w:rPr>
          <w:u w:val="single"/>
        </w:rPr>
        <w:t>www.pca-cpa.org.</w:t>
      </w:r>
    </w:p>
    <w:p w14:paraId="184F6D45" w14:textId="77777777" w:rsidR="004D69C2" w:rsidRDefault="004D69C2">
      <w:pPr>
        <w:ind w:left="-719"/>
        <w:jc w:val="both"/>
        <w:rPr>
          <w:u w:val="single"/>
        </w:rPr>
      </w:pPr>
    </w:p>
    <w:p w14:paraId="3A1FB587" w14:textId="77777777" w:rsidR="004D69C2" w:rsidRDefault="00FB593F">
      <w:pPr>
        <w:jc w:val="both"/>
        <w:rPr>
          <w:b/>
        </w:rPr>
      </w:pPr>
      <w:r>
        <w:rPr>
          <w:b/>
        </w:rPr>
        <w:t>Contact for the Media</w:t>
      </w:r>
    </w:p>
    <w:p w14:paraId="6D83BE21" w14:textId="77777777" w:rsidR="004D69C2" w:rsidRDefault="004D69C2">
      <w:pPr>
        <w:ind w:left="241" w:hanging="960"/>
        <w:jc w:val="both"/>
        <w:rPr>
          <w:b/>
        </w:rPr>
      </w:pPr>
    </w:p>
    <w:p w14:paraId="7221D9C4" w14:textId="77777777" w:rsidR="004D69C2" w:rsidRDefault="00FB593F">
      <w:pPr>
        <w:jc w:val="both"/>
        <w:sectPr w:rsidR="004D69C2" w:rsidSect="0065277E">
          <w:type w:val="continuous"/>
          <w:pgSz w:w="11900" w:h="16840"/>
          <w:pgMar w:top="2200" w:right="820" w:bottom="280" w:left="780" w:header="720" w:footer="720" w:gutter="0"/>
          <w:cols w:space="720"/>
        </w:sectPr>
      </w:pPr>
      <w:r>
        <w:t xml:space="preserve">For more information on the complete list of experts and further details about P.R.I.M.E. Finance, please refer to the website: </w:t>
      </w:r>
      <w:hyperlink r:id="rId13">
        <w:r>
          <w:rPr>
            <w:u w:val="single"/>
          </w:rPr>
          <w:t>www.primefinancedisputes.org</w:t>
        </w:r>
      </w:hyperlink>
      <w:r>
        <w:t xml:space="preserve">. For further information about this press release, contact </w:t>
      </w:r>
      <w:hyperlink r:id="rId14">
        <w:r>
          <w:rPr>
            <w:u w:val="single"/>
          </w:rPr>
          <w:t>secretary@primefinancedisputes.org</w:t>
        </w:r>
      </w:hyperlink>
      <w:r>
        <w:t xml:space="preserve">. </w:t>
      </w:r>
    </w:p>
    <w:p w14:paraId="17AC360F" w14:textId="77777777" w:rsidR="004D69C2" w:rsidRDefault="004D69C2">
      <w:pPr>
        <w:widowControl/>
        <w:jc w:val="center"/>
        <w:rPr>
          <w:b/>
        </w:rPr>
      </w:pPr>
    </w:p>
    <w:p w14:paraId="44A288AF" w14:textId="77777777" w:rsidR="004D69C2" w:rsidRDefault="004D69C2">
      <w:pPr>
        <w:widowControl/>
        <w:jc w:val="center"/>
        <w:rPr>
          <w:b/>
        </w:rPr>
      </w:pPr>
    </w:p>
    <w:p w14:paraId="2A6273FF" w14:textId="77777777" w:rsidR="004D69C2" w:rsidRDefault="004D69C2">
      <w:pPr>
        <w:widowControl/>
        <w:jc w:val="center"/>
        <w:rPr>
          <w:b/>
        </w:rPr>
      </w:pPr>
    </w:p>
    <w:p w14:paraId="1E08CFFC" w14:textId="77777777" w:rsidR="004D69C2" w:rsidRDefault="004D69C2">
      <w:pPr>
        <w:widowControl/>
        <w:jc w:val="center"/>
        <w:rPr>
          <w:b/>
        </w:rPr>
      </w:pPr>
    </w:p>
    <w:p w14:paraId="531FC1ED" w14:textId="77777777" w:rsidR="004D69C2" w:rsidRDefault="004D69C2">
      <w:pPr>
        <w:widowControl/>
        <w:jc w:val="center"/>
        <w:rPr>
          <w:b/>
        </w:rPr>
      </w:pPr>
    </w:p>
    <w:p w14:paraId="045F709A" w14:textId="77777777" w:rsidR="004D69C2" w:rsidRDefault="004D69C2">
      <w:pPr>
        <w:widowControl/>
        <w:jc w:val="center"/>
        <w:rPr>
          <w:b/>
        </w:rPr>
      </w:pPr>
    </w:p>
    <w:p w14:paraId="5C6F6CB4" w14:textId="77777777" w:rsidR="004D69C2" w:rsidRDefault="004D69C2">
      <w:pPr>
        <w:widowControl/>
        <w:jc w:val="center"/>
        <w:rPr>
          <w:b/>
        </w:rPr>
      </w:pPr>
    </w:p>
    <w:p w14:paraId="39AA2E67" w14:textId="77777777" w:rsidR="004D69C2" w:rsidRDefault="004D69C2">
      <w:pPr>
        <w:widowControl/>
        <w:jc w:val="center"/>
        <w:rPr>
          <w:b/>
        </w:rPr>
      </w:pPr>
    </w:p>
    <w:p w14:paraId="50C2E64E" w14:textId="77777777" w:rsidR="004D69C2" w:rsidRDefault="004D69C2">
      <w:pPr>
        <w:widowControl/>
        <w:jc w:val="center"/>
        <w:rPr>
          <w:b/>
        </w:rPr>
      </w:pPr>
    </w:p>
    <w:p w14:paraId="600A23B6" w14:textId="77777777" w:rsidR="004D69C2" w:rsidRDefault="004D69C2">
      <w:pPr>
        <w:widowControl/>
        <w:jc w:val="center"/>
        <w:rPr>
          <w:b/>
        </w:rPr>
      </w:pPr>
    </w:p>
    <w:p w14:paraId="0008F41C" w14:textId="77777777" w:rsidR="004D69C2" w:rsidRDefault="004D69C2">
      <w:pPr>
        <w:widowControl/>
        <w:jc w:val="center"/>
        <w:rPr>
          <w:b/>
        </w:rPr>
      </w:pPr>
    </w:p>
    <w:p w14:paraId="7289745D" w14:textId="77777777" w:rsidR="004D69C2" w:rsidRDefault="004D69C2">
      <w:pPr>
        <w:widowControl/>
        <w:jc w:val="center"/>
        <w:rPr>
          <w:b/>
        </w:rPr>
      </w:pPr>
    </w:p>
    <w:p w14:paraId="1E421BB5" w14:textId="77777777" w:rsidR="004D69C2" w:rsidRDefault="004D69C2">
      <w:pPr>
        <w:widowControl/>
        <w:jc w:val="center"/>
        <w:rPr>
          <w:b/>
        </w:rPr>
      </w:pPr>
    </w:p>
    <w:p w14:paraId="692DC30C" w14:textId="77777777" w:rsidR="004D69C2" w:rsidRDefault="004D69C2">
      <w:pPr>
        <w:widowControl/>
        <w:jc w:val="center"/>
        <w:rPr>
          <w:b/>
        </w:rPr>
      </w:pPr>
    </w:p>
    <w:p w14:paraId="1BA08A77" w14:textId="77777777" w:rsidR="004D69C2" w:rsidRDefault="004D69C2">
      <w:pPr>
        <w:widowControl/>
        <w:jc w:val="center"/>
        <w:rPr>
          <w:b/>
        </w:rPr>
      </w:pPr>
    </w:p>
    <w:p w14:paraId="43CC6771" w14:textId="77777777" w:rsidR="004D69C2" w:rsidRDefault="004D69C2">
      <w:pPr>
        <w:widowControl/>
        <w:jc w:val="center"/>
        <w:rPr>
          <w:b/>
        </w:rPr>
      </w:pPr>
    </w:p>
    <w:p w14:paraId="13A92DF9" w14:textId="77777777" w:rsidR="004D69C2" w:rsidRDefault="004D69C2">
      <w:pPr>
        <w:widowControl/>
        <w:jc w:val="center"/>
        <w:rPr>
          <w:b/>
        </w:rPr>
      </w:pPr>
    </w:p>
    <w:p w14:paraId="5C556DB7" w14:textId="77777777" w:rsidR="004D69C2" w:rsidRDefault="004D69C2">
      <w:pPr>
        <w:widowControl/>
        <w:jc w:val="center"/>
        <w:rPr>
          <w:b/>
        </w:rPr>
      </w:pPr>
    </w:p>
    <w:p w14:paraId="545EF187" w14:textId="77777777" w:rsidR="004D69C2" w:rsidRDefault="004D69C2">
      <w:pPr>
        <w:widowControl/>
        <w:jc w:val="center"/>
        <w:rPr>
          <w:b/>
        </w:rPr>
      </w:pPr>
    </w:p>
    <w:p w14:paraId="71F535F6" w14:textId="77777777" w:rsidR="004D69C2" w:rsidRDefault="004D69C2">
      <w:pPr>
        <w:widowControl/>
        <w:jc w:val="center"/>
        <w:rPr>
          <w:b/>
        </w:rPr>
      </w:pPr>
    </w:p>
    <w:p w14:paraId="6724004C" w14:textId="77777777" w:rsidR="004D69C2" w:rsidRDefault="004D69C2">
      <w:pPr>
        <w:widowControl/>
        <w:jc w:val="center"/>
        <w:rPr>
          <w:b/>
        </w:rPr>
      </w:pPr>
    </w:p>
    <w:p w14:paraId="6B2C4D08" w14:textId="77777777" w:rsidR="004D69C2" w:rsidRDefault="004D69C2">
      <w:pPr>
        <w:widowControl/>
        <w:jc w:val="center"/>
        <w:rPr>
          <w:b/>
        </w:rPr>
      </w:pPr>
    </w:p>
    <w:p w14:paraId="1D941B8D" w14:textId="77777777" w:rsidR="004D69C2" w:rsidRDefault="004D69C2">
      <w:pPr>
        <w:widowControl/>
        <w:jc w:val="center"/>
        <w:rPr>
          <w:b/>
        </w:rPr>
      </w:pPr>
    </w:p>
    <w:p w14:paraId="55F1BC93" w14:textId="77777777" w:rsidR="004D69C2" w:rsidRDefault="004D69C2">
      <w:pPr>
        <w:widowControl/>
        <w:jc w:val="center"/>
        <w:rPr>
          <w:b/>
        </w:rPr>
      </w:pPr>
    </w:p>
    <w:p w14:paraId="7D90BAA8" w14:textId="77777777" w:rsidR="004D69C2" w:rsidRDefault="004D69C2">
      <w:pPr>
        <w:widowControl/>
        <w:jc w:val="center"/>
        <w:rPr>
          <w:b/>
        </w:rPr>
      </w:pPr>
    </w:p>
    <w:p w14:paraId="3455A802" w14:textId="0D8B831E" w:rsidR="004D69C2" w:rsidRDefault="004D69C2">
      <w:pPr>
        <w:pBdr>
          <w:top w:val="nil"/>
          <w:left w:val="nil"/>
          <w:bottom w:val="nil"/>
          <w:right w:val="nil"/>
          <w:between w:val="nil"/>
        </w:pBdr>
        <w:spacing w:before="78"/>
        <w:ind w:right="3471"/>
        <w:jc w:val="center"/>
      </w:pPr>
    </w:p>
    <w:sectPr w:rsidR="004D69C2">
      <w:type w:val="continuous"/>
      <w:pgSz w:w="11900" w:h="16840"/>
      <w:pgMar w:top="2200" w:right="8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9156" w14:textId="77777777" w:rsidR="0065277E" w:rsidRDefault="0065277E">
      <w:r>
        <w:separator/>
      </w:r>
    </w:p>
  </w:endnote>
  <w:endnote w:type="continuationSeparator" w:id="0">
    <w:p w14:paraId="0628EB94" w14:textId="77777777" w:rsidR="0065277E" w:rsidRDefault="0065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D2A" w14:textId="77777777" w:rsidR="004D69C2" w:rsidRDefault="00FB593F">
    <w:pPr>
      <w:pBdr>
        <w:top w:val="nil"/>
        <w:left w:val="nil"/>
        <w:bottom w:val="nil"/>
        <w:right w:val="nil"/>
        <w:between w:val="nil"/>
      </w:pBdr>
      <w:tabs>
        <w:tab w:val="center" w:pos="4536"/>
        <w:tab w:val="right" w:pos="9072"/>
      </w:tabs>
      <w:rPr>
        <w:rFonts w:ascii="Times" w:eastAsia="Times" w:hAnsi="Times" w:cs="Times"/>
        <w:color w:val="000000"/>
        <w:sz w:val="16"/>
        <w:szCs w:val="16"/>
      </w:rPr>
    </w:pPr>
    <w:r>
      <w:rPr>
        <w:rFonts w:ascii="Times" w:eastAsia="Times" w:hAnsi="Times" w:cs="Times"/>
        <w:color w:val="000000"/>
        <w:sz w:val="16"/>
        <w:szCs w:val="16"/>
      </w:rPr>
      <w:t>53088983 M 27077565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BF8C" w14:textId="77777777" w:rsidR="00624E71" w:rsidRDefault="00624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8484" w14:textId="77777777" w:rsidR="004D69C2" w:rsidRDefault="00FB593F">
    <w:pPr>
      <w:pBdr>
        <w:top w:val="nil"/>
        <w:left w:val="nil"/>
        <w:bottom w:val="nil"/>
        <w:right w:val="nil"/>
        <w:between w:val="nil"/>
      </w:pBdr>
      <w:tabs>
        <w:tab w:val="center" w:pos="4536"/>
        <w:tab w:val="right" w:pos="9072"/>
      </w:tabs>
      <w:rPr>
        <w:rFonts w:ascii="Times" w:eastAsia="Times" w:hAnsi="Times" w:cs="Times"/>
        <w:color w:val="000000"/>
        <w:sz w:val="16"/>
        <w:szCs w:val="16"/>
      </w:rPr>
    </w:pPr>
    <w:r>
      <w:rPr>
        <w:rFonts w:ascii="Times" w:eastAsia="Times" w:hAnsi="Times" w:cs="Times"/>
        <w:color w:val="000000"/>
        <w:sz w:val="16"/>
        <w:szCs w:val="16"/>
      </w:rPr>
      <w:t>53088983 M 27077565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DE12" w14:textId="77777777" w:rsidR="0065277E" w:rsidRDefault="0065277E">
      <w:r>
        <w:separator/>
      </w:r>
    </w:p>
  </w:footnote>
  <w:footnote w:type="continuationSeparator" w:id="0">
    <w:p w14:paraId="59007987" w14:textId="77777777" w:rsidR="0065277E" w:rsidRDefault="0065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0312" w14:textId="77777777" w:rsidR="00624E71" w:rsidRDefault="00624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5346" w14:textId="77777777" w:rsidR="004D69C2" w:rsidRDefault="00FB593F">
    <w:pPr>
      <w:spacing w:before="9"/>
      <w:ind w:hanging="960"/>
      <w:rPr>
        <w:sz w:val="20"/>
        <w:szCs w:val="20"/>
      </w:rPr>
    </w:pPr>
    <w:r>
      <w:rPr>
        <w:noProof/>
      </w:rPr>
      <w:drawing>
        <wp:anchor distT="114300" distB="114300" distL="114300" distR="114300" simplePos="0" relativeHeight="251658240" behindDoc="0" locked="0" layoutInCell="1" hidden="0" allowOverlap="1" wp14:anchorId="0A090EE2" wp14:editId="188C9BBE">
          <wp:simplePos x="0" y="0"/>
          <wp:positionH relativeFrom="column">
            <wp:posOffset>-57149</wp:posOffset>
          </wp:positionH>
          <wp:positionV relativeFrom="paragraph">
            <wp:posOffset>-241299</wp:posOffset>
          </wp:positionV>
          <wp:extent cx="3224213" cy="1086419"/>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24213" cy="1086419"/>
                  </a:xfrm>
                  <a:prstGeom prst="rect">
                    <a:avLst/>
                  </a:prstGeom>
                  <a:ln/>
                </pic:spPr>
              </pic:pic>
            </a:graphicData>
          </a:graphic>
        </wp:anchor>
      </w:drawing>
    </w:r>
  </w:p>
  <w:p w14:paraId="05FD6BB1" w14:textId="77777777" w:rsidR="004D69C2" w:rsidRDefault="004D69C2">
    <w:pPr>
      <w:pBdr>
        <w:top w:val="nil"/>
        <w:left w:val="nil"/>
        <w:bottom w:val="nil"/>
        <w:right w:val="nil"/>
        <w:between w:val="nil"/>
      </w:pBdr>
      <w:spacing w:line="14" w:lineRule="auto"/>
      <w:ind w:hanging="9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B149" w14:textId="77777777" w:rsidR="00624E71" w:rsidRDefault="00624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C2"/>
    <w:rsid w:val="003C6F8B"/>
    <w:rsid w:val="00481FAC"/>
    <w:rsid w:val="00487D58"/>
    <w:rsid w:val="004D69C2"/>
    <w:rsid w:val="00624E71"/>
    <w:rsid w:val="0065277E"/>
    <w:rsid w:val="007D0CC5"/>
    <w:rsid w:val="00862660"/>
    <w:rsid w:val="008B6D8C"/>
    <w:rsid w:val="00D87AD6"/>
    <w:rsid w:val="00DB1B13"/>
    <w:rsid w:val="00F86FC6"/>
    <w:rsid w:val="00FB504C"/>
    <w:rsid w:val="00FB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2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
    <w:qFormat/>
    <w:pPr>
      <w:ind w:left="238"/>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96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09E"/>
    <w:pPr>
      <w:tabs>
        <w:tab w:val="center" w:pos="4536"/>
        <w:tab w:val="right" w:pos="9072"/>
      </w:tabs>
    </w:pPr>
  </w:style>
  <w:style w:type="character" w:customStyle="1" w:styleId="HeaderChar">
    <w:name w:val="Header Char"/>
    <w:basedOn w:val="DefaultParagraphFont"/>
    <w:link w:val="Header"/>
    <w:uiPriority w:val="99"/>
    <w:rsid w:val="00B6109E"/>
    <w:rPr>
      <w:rFonts w:ascii="Times New Roman" w:hAnsi="Times New Roman" w:cs="Times New Roman"/>
      <w:sz w:val="24"/>
      <w:szCs w:val="24"/>
    </w:rPr>
  </w:style>
  <w:style w:type="paragraph" w:styleId="Footer">
    <w:name w:val="footer"/>
    <w:basedOn w:val="Normal"/>
    <w:link w:val="FooterChar"/>
    <w:uiPriority w:val="99"/>
    <w:unhideWhenUsed/>
    <w:rsid w:val="00B6109E"/>
    <w:pPr>
      <w:tabs>
        <w:tab w:val="center" w:pos="4536"/>
        <w:tab w:val="right" w:pos="9072"/>
      </w:tabs>
    </w:pPr>
  </w:style>
  <w:style w:type="character" w:customStyle="1" w:styleId="FooterChar">
    <w:name w:val="Footer Char"/>
    <w:basedOn w:val="DefaultParagraphFont"/>
    <w:link w:val="Footer"/>
    <w:uiPriority w:val="99"/>
    <w:rsid w:val="00B6109E"/>
    <w:rPr>
      <w:rFonts w:ascii="Times New Roman" w:hAnsi="Times New Roman" w:cs="Times New Roman"/>
      <w:sz w:val="24"/>
      <w:szCs w:val="24"/>
    </w:rPr>
  </w:style>
  <w:style w:type="character" w:styleId="Hyperlink">
    <w:name w:val="Hyperlink"/>
    <w:basedOn w:val="DefaultParagraphFont"/>
    <w:uiPriority w:val="99"/>
    <w:unhideWhenUsed/>
    <w:rsid w:val="006523D1"/>
    <w:rPr>
      <w:color w:val="0000FF" w:themeColor="hyperlink"/>
      <w:u w:val="single"/>
    </w:rPr>
  </w:style>
  <w:style w:type="paragraph" w:styleId="NormalWeb">
    <w:name w:val="Normal (Web)"/>
    <w:basedOn w:val="Normal"/>
    <w:uiPriority w:val="99"/>
    <w:semiHidden/>
    <w:unhideWhenUsed/>
    <w:rsid w:val="00544B05"/>
    <w:pPr>
      <w:widowControl/>
      <w:autoSpaceDE/>
      <w:autoSpaceDN/>
      <w:adjustRightInd/>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7018B0"/>
    <w:rPr>
      <w:color w:val="605E5C"/>
      <w:shd w:val="clear" w:color="auto" w:fill="E1DFDD"/>
    </w:rPr>
  </w:style>
  <w:style w:type="paragraph" w:styleId="BalloonText">
    <w:name w:val="Balloon Text"/>
    <w:basedOn w:val="Normal"/>
    <w:link w:val="BalloonTextChar"/>
    <w:uiPriority w:val="99"/>
    <w:semiHidden/>
    <w:unhideWhenUsed/>
    <w:rsid w:val="00862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660"/>
    <w:rPr>
      <w:rFonts w:ascii="Segoe UI" w:hAnsi="Segoe UI" w:cs="Segoe UI"/>
      <w:sz w:val="18"/>
      <w:szCs w:val="18"/>
    </w:rPr>
  </w:style>
  <w:style w:type="paragraph" w:styleId="Revision">
    <w:name w:val="Revision"/>
    <w:hidden/>
    <w:uiPriority w:val="99"/>
    <w:semiHidden/>
    <w:rsid w:val="007D0CC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BYtRubM1P28FaglZOrc6QAG3EQ==">CgMxLjA4AGolChRzdWdnZXN0Lm9mZ2JvMmJvYzltdRINUm9iZXJ0IFBpY2tlbGolChRzdWdnZXN0LjNveDlkOXh1a2h6ehINUm9iZXJ0IFBpY2tlbHIhMWFlbVJmMGEyZEdYWGwyX3lvTnRwTldGM29sR0Y4aDBo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2024-03-27T13:17:00Z</dcterms:created>
  <dcterms:modified xsi:type="dcterms:W3CDTF">2024-03-27T13:18:00Z</dcterms:modified>
</cp:coreProperties>
</file>